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AA" w:rsidRPr="005E51FF" w:rsidRDefault="002B10D7" w:rsidP="00A10F3C">
      <w:pPr>
        <w:spacing w:after="0" w:line="240" w:lineRule="auto"/>
        <w:jc w:val="center"/>
        <w:rPr>
          <w:rFonts w:ascii="Times New Roman" w:hAnsi="Times New Roman" w:cs="Times New Roman"/>
          <w:i/>
        </w:rPr>
      </w:pPr>
      <w:r w:rsidRPr="00EC0A63">
        <w:rPr>
          <w:noProof/>
        </w:rPr>
        <w:drawing>
          <wp:anchor distT="0" distB="0" distL="114300" distR="114300" simplePos="0" relativeHeight="251659264" behindDoc="1" locked="0" layoutInCell="1" allowOverlap="1" wp14:anchorId="240D081D" wp14:editId="22FD0C37">
            <wp:simplePos x="0" y="0"/>
            <wp:positionH relativeFrom="column">
              <wp:posOffset>-609600</wp:posOffset>
            </wp:positionH>
            <wp:positionV relativeFrom="paragraph">
              <wp:posOffset>-219075</wp:posOffset>
            </wp:positionV>
            <wp:extent cx="2257425" cy="801927"/>
            <wp:effectExtent l="0" t="0" r="0" b="0"/>
            <wp:wrapNone/>
            <wp:docPr id="6" name="Picture 1" descr="BGF-nueva imagen 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nueva imagen ELA.png"/>
                    <pic:cNvPicPr/>
                  </pic:nvPicPr>
                  <pic:blipFill>
                    <a:blip r:embed="rId8"/>
                    <a:stretch>
                      <a:fillRect/>
                    </a:stretch>
                  </pic:blipFill>
                  <pic:spPr>
                    <a:xfrm>
                      <a:off x="0" y="0"/>
                      <a:ext cx="2257425" cy="801927"/>
                    </a:xfrm>
                    <a:prstGeom prst="rect">
                      <a:avLst/>
                    </a:prstGeom>
                  </pic:spPr>
                </pic:pic>
              </a:graphicData>
            </a:graphic>
            <wp14:sizeRelH relativeFrom="margin">
              <wp14:pctWidth>0</wp14:pctWidth>
            </wp14:sizeRelH>
            <wp14:sizeRelV relativeFrom="margin">
              <wp14:pctHeight>0</wp14:pctHeight>
            </wp14:sizeRelV>
          </wp:anchor>
        </w:drawing>
      </w:r>
    </w:p>
    <w:p w:rsidR="00CC32AA" w:rsidRPr="005E51FF" w:rsidRDefault="00CC32AA">
      <w:pPr>
        <w:spacing w:after="0" w:line="240" w:lineRule="auto"/>
        <w:jc w:val="center"/>
        <w:rPr>
          <w:rFonts w:ascii="Times New Roman" w:hAnsi="Times New Roman" w:cs="Times New Roman"/>
          <w:i/>
        </w:rPr>
      </w:pPr>
    </w:p>
    <w:p w:rsidR="00CC32AA" w:rsidRPr="005E51FF" w:rsidRDefault="00CC32AA" w:rsidP="00A10F3C">
      <w:pPr>
        <w:spacing w:after="0" w:line="240" w:lineRule="auto"/>
        <w:jc w:val="center"/>
        <w:rPr>
          <w:rFonts w:ascii="Times New Roman" w:hAnsi="Times New Roman" w:cs="Times New Roman"/>
          <w:i/>
        </w:rPr>
      </w:pPr>
    </w:p>
    <w:p w:rsidR="00E52C21" w:rsidRDefault="00E52C21" w:rsidP="00A10F3C">
      <w:pPr>
        <w:spacing w:after="0" w:line="240" w:lineRule="auto"/>
        <w:jc w:val="center"/>
        <w:rPr>
          <w:rFonts w:ascii="Arial" w:eastAsia="Times New Roman" w:hAnsi="Arial" w:cs="Arial"/>
          <w:b/>
          <w:bCs/>
          <w:smallCaps/>
          <w:color w:val="000000"/>
          <w:sz w:val="24"/>
          <w:szCs w:val="24"/>
          <w:lang w:val="es-ES"/>
        </w:rPr>
      </w:pPr>
    </w:p>
    <w:p w:rsidR="004D4762" w:rsidRPr="008A2F60" w:rsidRDefault="00B37352" w:rsidP="00A10F3C">
      <w:pPr>
        <w:spacing w:after="0" w:line="240" w:lineRule="auto"/>
        <w:jc w:val="center"/>
        <w:rPr>
          <w:rFonts w:ascii="Arial" w:eastAsia="Times New Roman" w:hAnsi="Arial" w:cs="Arial"/>
          <w:b/>
          <w:bCs/>
          <w:smallCaps/>
          <w:color w:val="000000"/>
          <w:sz w:val="24"/>
          <w:szCs w:val="24"/>
          <w:lang w:val="es-ES"/>
        </w:rPr>
      </w:pPr>
      <w:r w:rsidRPr="008A2F60">
        <w:rPr>
          <w:rFonts w:ascii="Arial" w:eastAsia="Times New Roman" w:hAnsi="Arial" w:cs="Arial"/>
          <w:b/>
          <w:bCs/>
          <w:smallCaps/>
          <w:color w:val="000000"/>
          <w:sz w:val="24"/>
          <w:szCs w:val="24"/>
          <w:lang w:val="es-ES"/>
        </w:rPr>
        <w:t>Memorial Explicativo</w:t>
      </w:r>
    </w:p>
    <w:p w:rsidR="00B61883" w:rsidRPr="008A2F60" w:rsidRDefault="00E25651" w:rsidP="00B61883">
      <w:pPr>
        <w:pStyle w:val="NormalWeb"/>
        <w:spacing w:before="0" w:beforeAutospacing="0" w:after="0" w:afterAutospacing="0"/>
        <w:jc w:val="center"/>
        <w:rPr>
          <w:rFonts w:ascii="Arial" w:hAnsi="Arial" w:cs="Arial"/>
          <w:b/>
          <w:bCs/>
          <w:smallCaps/>
          <w:color w:val="000000"/>
          <w:lang w:val="es-ES"/>
        </w:rPr>
      </w:pPr>
      <w:r w:rsidRPr="008A2F60">
        <w:rPr>
          <w:rFonts w:ascii="Arial" w:hAnsi="Arial" w:cs="Arial"/>
          <w:b/>
          <w:bCs/>
          <w:smallCaps/>
          <w:color w:val="000000"/>
          <w:lang w:val="es-ES"/>
        </w:rPr>
        <w:t xml:space="preserve">Transición de Gobierno </w:t>
      </w:r>
      <w:r w:rsidR="008A2F60">
        <w:rPr>
          <w:rFonts w:ascii="Arial" w:hAnsi="Arial" w:cs="Arial"/>
          <w:b/>
          <w:bCs/>
          <w:smallCaps/>
          <w:color w:val="000000"/>
          <w:lang w:val="es-ES"/>
        </w:rPr>
        <w:t xml:space="preserve">del </w:t>
      </w:r>
      <w:r w:rsidRPr="008A2F60">
        <w:rPr>
          <w:rFonts w:ascii="Arial" w:hAnsi="Arial" w:cs="Arial"/>
          <w:b/>
          <w:bCs/>
          <w:smallCaps/>
          <w:color w:val="000000"/>
          <w:lang w:val="es-ES"/>
        </w:rPr>
        <w:t>Año 2016</w:t>
      </w:r>
    </w:p>
    <w:p w:rsidR="004D4762" w:rsidRPr="008A2F60" w:rsidRDefault="004D4762" w:rsidP="00C02789">
      <w:pPr>
        <w:pStyle w:val="NormalWeb"/>
        <w:spacing w:before="0" w:beforeAutospacing="0" w:after="0" w:afterAutospacing="0"/>
        <w:jc w:val="both"/>
        <w:rPr>
          <w:rFonts w:ascii="Arial" w:hAnsi="Arial" w:cs="Arial"/>
          <w:b/>
          <w:bCs/>
          <w:smallCaps/>
          <w:color w:val="000000"/>
          <w:lang w:val="es-ES"/>
        </w:rPr>
      </w:pPr>
    </w:p>
    <w:p w:rsidR="002B10D7" w:rsidRPr="008A2F60" w:rsidRDefault="002B10D7" w:rsidP="00C02789">
      <w:pPr>
        <w:pStyle w:val="NormalWeb"/>
        <w:spacing w:before="0" w:beforeAutospacing="0" w:after="0" w:afterAutospacing="0"/>
        <w:jc w:val="both"/>
        <w:rPr>
          <w:rFonts w:ascii="Arial" w:hAnsi="Arial" w:cs="Arial"/>
          <w:b/>
          <w:bCs/>
          <w:smallCaps/>
          <w:color w:val="000000"/>
          <w:lang w:val="es-ES"/>
        </w:rPr>
      </w:pPr>
    </w:p>
    <w:p w:rsidR="002B10D7" w:rsidRPr="008A2F60" w:rsidRDefault="00E25651" w:rsidP="00C02789">
      <w:pPr>
        <w:pStyle w:val="NormalWeb"/>
        <w:spacing w:before="0" w:beforeAutospacing="0" w:after="0" w:afterAutospacing="0"/>
        <w:jc w:val="both"/>
        <w:rPr>
          <w:rFonts w:ascii="Arial" w:eastAsiaTheme="minorEastAsia" w:hAnsi="Arial" w:cs="Arial"/>
          <w:color w:val="000000"/>
          <w:lang w:val="es-ES"/>
        </w:rPr>
      </w:pPr>
      <w:r w:rsidRPr="008A2F60">
        <w:rPr>
          <w:rFonts w:ascii="Arial" w:eastAsiaTheme="minorEastAsia" w:hAnsi="Arial" w:cs="Arial"/>
          <w:color w:val="000000"/>
          <w:lang w:val="es-ES"/>
        </w:rPr>
        <w:t>1</w:t>
      </w:r>
      <w:r w:rsidR="004574E8" w:rsidRPr="008A2F60">
        <w:rPr>
          <w:rFonts w:ascii="Arial" w:eastAsiaTheme="minorEastAsia" w:hAnsi="Arial" w:cs="Arial"/>
          <w:color w:val="000000"/>
          <w:lang w:val="es-ES"/>
        </w:rPr>
        <w:t>4</w:t>
      </w:r>
      <w:r w:rsidR="00225DB2" w:rsidRPr="008A2F60">
        <w:rPr>
          <w:rFonts w:ascii="Arial" w:eastAsiaTheme="minorEastAsia" w:hAnsi="Arial" w:cs="Arial"/>
          <w:color w:val="000000"/>
          <w:lang w:val="es-ES"/>
        </w:rPr>
        <w:t xml:space="preserve"> </w:t>
      </w:r>
      <w:r w:rsidR="00B37352" w:rsidRPr="008A2F60">
        <w:rPr>
          <w:rFonts w:ascii="Arial" w:eastAsiaTheme="minorEastAsia" w:hAnsi="Arial" w:cs="Arial"/>
          <w:color w:val="000000"/>
          <w:lang w:val="es-ES"/>
        </w:rPr>
        <w:t xml:space="preserve">de </w:t>
      </w:r>
      <w:r w:rsidRPr="008A2F60">
        <w:rPr>
          <w:rFonts w:ascii="Arial" w:eastAsiaTheme="minorEastAsia" w:hAnsi="Arial" w:cs="Arial"/>
          <w:color w:val="000000"/>
          <w:lang w:val="es-ES"/>
        </w:rPr>
        <w:t xml:space="preserve">octubre </w:t>
      </w:r>
      <w:r w:rsidR="00B37352" w:rsidRPr="008A2F60">
        <w:rPr>
          <w:rFonts w:ascii="Arial" w:eastAsiaTheme="minorEastAsia" w:hAnsi="Arial" w:cs="Arial"/>
          <w:color w:val="000000"/>
          <w:lang w:val="es-ES"/>
        </w:rPr>
        <w:t>de 201</w:t>
      </w:r>
      <w:r w:rsidR="0021016D" w:rsidRPr="008A2F60">
        <w:rPr>
          <w:rFonts w:ascii="Arial" w:eastAsiaTheme="minorEastAsia" w:hAnsi="Arial" w:cs="Arial"/>
          <w:color w:val="000000"/>
          <w:lang w:val="es-ES"/>
        </w:rPr>
        <w:t>6</w:t>
      </w:r>
    </w:p>
    <w:p w:rsidR="00CC32AA" w:rsidRPr="008A2F60" w:rsidRDefault="00CC32AA" w:rsidP="00C02789">
      <w:pPr>
        <w:pStyle w:val="NormalWeb"/>
        <w:spacing w:before="0" w:beforeAutospacing="0" w:after="0" w:afterAutospacing="0"/>
        <w:jc w:val="both"/>
        <w:rPr>
          <w:rFonts w:ascii="Arial" w:hAnsi="Arial" w:cs="Arial"/>
          <w:b/>
          <w:bCs/>
          <w:smallCaps/>
          <w:color w:val="000000"/>
          <w:lang w:val="es-ES"/>
        </w:rPr>
      </w:pPr>
    </w:p>
    <w:p w:rsidR="00087375" w:rsidRPr="008A2F60" w:rsidRDefault="00087375" w:rsidP="00C02789">
      <w:pPr>
        <w:pStyle w:val="NormalWeb"/>
        <w:spacing w:before="0" w:beforeAutospacing="0" w:after="0" w:afterAutospacing="0"/>
        <w:jc w:val="both"/>
        <w:rPr>
          <w:rFonts w:ascii="Arial" w:hAnsi="Arial" w:cs="Arial"/>
          <w:b/>
          <w:bCs/>
          <w:smallCaps/>
          <w:color w:val="000000"/>
          <w:lang w:val="es-ES"/>
        </w:rPr>
      </w:pPr>
    </w:p>
    <w:p w:rsidR="00CC32AA" w:rsidRPr="008A2F60" w:rsidRDefault="00CC32AA" w:rsidP="00C02789">
      <w:pPr>
        <w:pStyle w:val="NormalWeb"/>
        <w:spacing w:before="0" w:beforeAutospacing="0" w:after="0" w:afterAutospacing="0"/>
        <w:jc w:val="both"/>
        <w:rPr>
          <w:rFonts w:ascii="Arial" w:hAnsi="Arial" w:cs="Arial"/>
          <w:bCs/>
          <w:smallCaps/>
          <w:color w:val="000000"/>
          <w:lang w:val="es-ES"/>
        </w:rPr>
      </w:pPr>
      <w:r w:rsidRPr="008A2F60">
        <w:rPr>
          <w:rFonts w:ascii="Arial" w:hAnsi="Arial" w:cs="Arial"/>
          <w:bCs/>
          <w:smallCaps/>
          <w:color w:val="000000"/>
          <w:lang w:val="es-ES"/>
        </w:rPr>
        <w:t>Deponente: José A. Sierra Morales, Director Ejecutivo</w:t>
      </w:r>
    </w:p>
    <w:p w:rsidR="004D4762" w:rsidRPr="008A2F60" w:rsidRDefault="004D4762" w:rsidP="00B61883">
      <w:pPr>
        <w:pStyle w:val="NormalWeb"/>
        <w:spacing w:before="0" w:beforeAutospacing="0" w:after="0" w:afterAutospacing="0"/>
        <w:jc w:val="center"/>
        <w:rPr>
          <w:rFonts w:ascii="Arial" w:hAnsi="Arial" w:cs="Arial"/>
          <w:b/>
          <w:bCs/>
          <w:smallCaps/>
          <w:color w:val="000000"/>
          <w:lang w:val="es-ES"/>
        </w:rPr>
      </w:pPr>
    </w:p>
    <w:p w:rsidR="00B61883" w:rsidRPr="008A2F60" w:rsidRDefault="00E25651" w:rsidP="00C86092">
      <w:pPr>
        <w:spacing w:line="240" w:lineRule="auto"/>
        <w:contextualSpacing/>
        <w:jc w:val="both"/>
        <w:rPr>
          <w:rFonts w:ascii="Arial" w:hAnsi="Arial" w:cs="Arial"/>
          <w:color w:val="000000"/>
          <w:sz w:val="24"/>
          <w:szCs w:val="24"/>
          <w:lang w:val="es-ES"/>
        </w:rPr>
      </w:pPr>
      <w:r w:rsidRPr="008A2F60">
        <w:rPr>
          <w:rFonts w:ascii="Arial" w:hAnsi="Arial" w:cs="Arial"/>
          <w:color w:val="000000"/>
          <w:sz w:val="24"/>
          <w:szCs w:val="24"/>
          <w:lang w:val="es-ES"/>
        </w:rPr>
        <w:t>Buenos días</w:t>
      </w:r>
      <w:r w:rsidR="00B61883" w:rsidRPr="008A2F60">
        <w:rPr>
          <w:rFonts w:ascii="Arial" w:hAnsi="Arial" w:cs="Arial"/>
          <w:color w:val="000000"/>
          <w:sz w:val="24"/>
          <w:szCs w:val="24"/>
          <w:lang w:val="es-ES"/>
        </w:rPr>
        <w:t xml:space="preserve">, </w:t>
      </w:r>
      <w:r w:rsidR="00C86092" w:rsidRPr="008A2F60">
        <w:rPr>
          <w:rFonts w:ascii="Arial" w:hAnsi="Arial" w:cs="Arial"/>
          <w:color w:val="000000"/>
          <w:sz w:val="24"/>
          <w:szCs w:val="24"/>
          <w:lang w:val="es-ES"/>
        </w:rPr>
        <w:t xml:space="preserve">distinguidos </w:t>
      </w:r>
      <w:r w:rsidRPr="008A2F60">
        <w:rPr>
          <w:rFonts w:ascii="Arial" w:hAnsi="Arial" w:cs="Arial"/>
          <w:color w:val="000000"/>
          <w:sz w:val="24"/>
          <w:szCs w:val="24"/>
          <w:lang w:val="es-ES"/>
        </w:rPr>
        <w:t>Miembros del Comité de Transición del Gobierno de Puerto Ric</w:t>
      </w:r>
      <w:bookmarkStart w:id="0" w:name="_GoBack"/>
      <w:bookmarkEnd w:id="0"/>
      <w:r w:rsidRPr="008A2F60">
        <w:rPr>
          <w:rFonts w:ascii="Arial" w:hAnsi="Arial" w:cs="Arial"/>
          <w:color w:val="000000"/>
          <w:sz w:val="24"/>
          <w:szCs w:val="24"/>
          <w:lang w:val="es-ES"/>
        </w:rPr>
        <w:t>o</w:t>
      </w:r>
      <w:r w:rsidR="00B61883" w:rsidRPr="008A2F60">
        <w:rPr>
          <w:rFonts w:ascii="Arial" w:hAnsi="Arial" w:cs="Arial"/>
          <w:color w:val="000000"/>
          <w:sz w:val="24"/>
          <w:szCs w:val="24"/>
          <w:lang w:val="es-ES"/>
        </w:rPr>
        <w:t xml:space="preserve">.  Para fines de récord, comparece ante ustedes el Sr. </w:t>
      </w:r>
      <w:r w:rsidR="00670FC7" w:rsidRPr="008A2F60">
        <w:rPr>
          <w:rFonts w:ascii="Arial" w:hAnsi="Arial" w:cs="Arial"/>
          <w:color w:val="000000"/>
          <w:sz w:val="24"/>
          <w:szCs w:val="24"/>
          <w:lang w:val="es-ES"/>
        </w:rPr>
        <w:t xml:space="preserve">José </w:t>
      </w:r>
      <w:r w:rsidR="00854A84" w:rsidRPr="008A2F60">
        <w:rPr>
          <w:rFonts w:ascii="Arial" w:hAnsi="Arial" w:cs="Arial"/>
          <w:color w:val="000000"/>
          <w:sz w:val="24"/>
          <w:szCs w:val="24"/>
          <w:lang w:val="es-ES"/>
        </w:rPr>
        <w:t xml:space="preserve">A. </w:t>
      </w:r>
      <w:r w:rsidR="00670FC7" w:rsidRPr="008A2F60">
        <w:rPr>
          <w:rFonts w:ascii="Arial" w:hAnsi="Arial" w:cs="Arial"/>
          <w:color w:val="000000"/>
          <w:sz w:val="24"/>
          <w:szCs w:val="24"/>
          <w:lang w:val="es-ES"/>
        </w:rPr>
        <w:t>Sierra Morales</w:t>
      </w:r>
      <w:r w:rsidR="00B61883" w:rsidRPr="008A2F60">
        <w:rPr>
          <w:rFonts w:ascii="Arial" w:hAnsi="Arial" w:cs="Arial"/>
          <w:color w:val="000000"/>
          <w:sz w:val="24"/>
          <w:szCs w:val="24"/>
          <w:lang w:val="es-ES"/>
        </w:rPr>
        <w:t>, Director Ejecutivo de la Autoridad para el Financiamiento de la Vivienda de Puerto Rico, para presentar</w:t>
      </w:r>
      <w:r w:rsidR="00670FC7" w:rsidRPr="008A2F60">
        <w:rPr>
          <w:rFonts w:ascii="Arial" w:hAnsi="Arial" w:cs="Arial"/>
          <w:color w:val="000000"/>
          <w:sz w:val="24"/>
          <w:szCs w:val="24"/>
          <w:lang w:val="es-ES"/>
        </w:rPr>
        <w:t xml:space="preserve"> </w:t>
      </w:r>
      <w:r w:rsidRPr="008A2F60">
        <w:rPr>
          <w:rFonts w:ascii="Arial" w:hAnsi="Arial" w:cs="Arial"/>
          <w:color w:val="000000"/>
          <w:sz w:val="24"/>
          <w:szCs w:val="24"/>
          <w:lang w:val="es-ES"/>
        </w:rPr>
        <w:t>un informe pertinente al proceso de Transición de Gobierno para el año  2016</w:t>
      </w:r>
      <w:r w:rsidR="00B61883" w:rsidRPr="008A2F60">
        <w:rPr>
          <w:rFonts w:ascii="Arial" w:hAnsi="Arial" w:cs="Arial"/>
          <w:color w:val="000000"/>
          <w:sz w:val="24"/>
          <w:szCs w:val="24"/>
          <w:lang w:val="es-ES"/>
        </w:rPr>
        <w:t xml:space="preserve">.  </w:t>
      </w:r>
    </w:p>
    <w:p w:rsidR="00B61883" w:rsidRPr="008A2F60" w:rsidRDefault="00B61883" w:rsidP="00C02789">
      <w:pPr>
        <w:contextualSpacing/>
        <w:jc w:val="both"/>
        <w:rPr>
          <w:rFonts w:ascii="Arial" w:hAnsi="Arial" w:cs="Arial"/>
          <w:color w:val="000000"/>
          <w:sz w:val="24"/>
          <w:szCs w:val="24"/>
          <w:lang w:val="es-ES"/>
        </w:rPr>
      </w:pPr>
    </w:p>
    <w:p w:rsidR="008A2F60" w:rsidRPr="008A2F60" w:rsidRDefault="00670FC7" w:rsidP="008A2F60">
      <w:pPr>
        <w:spacing w:line="240" w:lineRule="auto"/>
        <w:jc w:val="both"/>
        <w:rPr>
          <w:rFonts w:ascii="Arial" w:hAnsi="Arial" w:cs="Arial"/>
          <w:color w:val="000000"/>
          <w:sz w:val="24"/>
          <w:szCs w:val="24"/>
          <w:lang w:val="es-ES"/>
        </w:rPr>
      </w:pPr>
      <w:r w:rsidRPr="008A2F60">
        <w:rPr>
          <w:rFonts w:ascii="Arial" w:hAnsi="Arial" w:cs="Arial"/>
          <w:color w:val="000000"/>
          <w:sz w:val="24"/>
          <w:szCs w:val="24"/>
          <w:lang w:val="es-ES"/>
        </w:rPr>
        <w:t>La Ley Núm. 103 del 11 de agosto de 2001, según enmendada, creó la Autoridad para el Financiamiento de la Vivienda de Puerto Rico (</w:t>
      </w:r>
      <w:r w:rsidR="0037474E" w:rsidRPr="008A2F60">
        <w:rPr>
          <w:rFonts w:ascii="Arial" w:hAnsi="Arial" w:cs="Arial"/>
          <w:color w:val="000000"/>
          <w:sz w:val="24"/>
          <w:szCs w:val="24"/>
          <w:lang w:val="es-ES"/>
        </w:rPr>
        <w:t>“</w:t>
      </w:r>
      <w:r w:rsidRPr="008A2F60">
        <w:rPr>
          <w:rFonts w:ascii="Arial" w:hAnsi="Arial" w:cs="Arial"/>
          <w:color w:val="000000"/>
          <w:sz w:val="24"/>
          <w:szCs w:val="24"/>
          <w:lang w:val="es-ES"/>
        </w:rPr>
        <w:t>Autoridad</w:t>
      </w:r>
      <w:r w:rsidR="0037474E" w:rsidRPr="008A2F60">
        <w:rPr>
          <w:rFonts w:ascii="Arial" w:hAnsi="Arial" w:cs="Arial"/>
          <w:color w:val="000000"/>
          <w:sz w:val="24"/>
          <w:szCs w:val="24"/>
          <w:lang w:val="es-ES"/>
        </w:rPr>
        <w:t>”</w:t>
      </w:r>
      <w:r w:rsidRPr="008A2F60">
        <w:rPr>
          <w:rFonts w:ascii="Arial" w:hAnsi="Arial" w:cs="Arial"/>
          <w:color w:val="000000"/>
          <w:sz w:val="24"/>
          <w:szCs w:val="24"/>
          <w:lang w:val="es-ES"/>
        </w:rPr>
        <w:t>) como una subsidiaria del Banco Gubernamental de Fomento para Puerto Rico</w:t>
      </w:r>
      <w:r w:rsidR="00C86092" w:rsidRPr="008A2F60">
        <w:rPr>
          <w:rFonts w:ascii="Arial" w:hAnsi="Arial" w:cs="Arial"/>
          <w:color w:val="000000"/>
          <w:sz w:val="24"/>
          <w:szCs w:val="24"/>
          <w:lang w:val="es-ES"/>
        </w:rPr>
        <w:t xml:space="preserve"> (BGF)</w:t>
      </w:r>
      <w:r w:rsidRPr="008A2F60">
        <w:rPr>
          <w:rFonts w:ascii="Arial" w:hAnsi="Arial" w:cs="Arial"/>
          <w:color w:val="000000"/>
          <w:sz w:val="24"/>
          <w:szCs w:val="24"/>
          <w:lang w:val="es-ES"/>
        </w:rPr>
        <w:t xml:space="preserve">. Por virtud de dicha ley, </w:t>
      </w:r>
      <w:r w:rsidR="007F56AF" w:rsidRPr="008A2F60">
        <w:rPr>
          <w:rFonts w:ascii="Arial" w:hAnsi="Arial" w:cs="Arial"/>
          <w:color w:val="000000"/>
          <w:sz w:val="24"/>
          <w:szCs w:val="24"/>
          <w:lang w:val="es-ES"/>
        </w:rPr>
        <w:t xml:space="preserve">la Autoridad </w:t>
      </w:r>
      <w:r w:rsidRPr="008A2F60">
        <w:rPr>
          <w:rFonts w:ascii="Arial" w:hAnsi="Arial" w:cs="Arial"/>
          <w:color w:val="000000"/>
          <w:sz w:val="24"/>
          <w:szCs w:val="24"/>
          <w:lang w:val="es-ES"/>
        </w:rPr>
        <w:t xml:space="preserve">resultó de la fusión del Banco de la Vivienda </w:t>
      </w:r>
      <w:r w:rsidR="00F161F7" w:rsidRPr="008A2F60">
        <w:rPr>
          <w:rFonts w:ascii="Arial" w:hAnsi="Arial" w:cs="Arial"/>
          <w:color w:val="000000"/>
          <w:sz w:val="24"/>
          <w:szCs w:val="24"/>
          <w:lang w:val="es-ES"/>
        </w:rPr>
        <w:t>en</w:t>
      </w:r>
      <w:r w:rsidRPr="008A2F60">
        <w:rPr>
          <w:rFonts w:ascii="Arial" w:hAnsi="Arial" w:cs="Arial"/>
          <w:color w:val="000000"/>
          <w:sz w:val="24"/>
          <w:szCs w:val="24"/>
          <w:lang w:val="es-ES"/>
        </w:rPr>
        <w:t xml:space="preserve"> la Corporación para el Financiamiento de la Vivienda de Puerto Rico.</w:t>
      </w:r>
      <w:r w:rsidR="0037474E" w:rsidRPr="008A2F60">
        <w:rPr>
          <w:rFonts w:ascii="Arial" w:hAnsi="Arial" w:cs="Arial"/>
          <w:color w:val="000000"/>
          <w:sz w:val="24"/>
          <w:szCs w:val="24"/>
          <w:lang w:val="es-ES"/>
        </w:rPr>
        <w:t xml:space="preserve">  La Junta de Directores de la Autoridad </w:t>
      </w:r>
      <w:r w:rsidR="00FB43D0" w:rsidRPr="008A2F60">
        <w:rPr>
          <w:rFonts w:ascii="Arial" w:hAnsi="Arial" w:cs="Arial"/>
          <w:color w:val="000000"/>
          <w:sz w:val="24"/>
          <w:szCs w:val="24"/>
          <w:lang w:val="es-ES"/>
        </w:rPr>
        <w:t>establece política pública</w:t>
      </w:r>
      <w:r w:rsidR="00656031" w:rsidRPr="008A2F60">
        <w:rPr>
          <w:rFonts w:ascii="Arial" w:hAnsi="Arial" w:cs="Arial"/>
          <w:color w:val="000000"/>
          <w:sz w:val="24"/>
          <w:szCs w:val="24"/>
          <w:lang w:val="es-ES"/>
        </w:rPr>
        <w:t xml:space="preserve"> que </w:t>
      </w:r>
      <w:r w:rsidR="00745DED" w:rsidRPr="008A2F60">
        <w:rPr>
          <w:rFonts w:ascii="Arial" w:hAnsi="Arial" w:cs="Arial"/>
          <w:color w:val="000000"/>
          <w:sz w:val="24"/>
          <w:szCs w:val="24"/>
          <w:lang w:val="es-ES"/>
        </w:rPr>
        <w:t>rige</w:t>
      </w:r>
      <w:r w:rsidR="00656031" w:rsidRPr="008A2F60">
        <w:rPr>
          <w:rFonts w:ascii="Arial" w:hAnsi="Arial" w:cs="Arial"/>
          <w:color w:val="000000"/>
          <w:sz w:val="24"/>
          <w:szCs w:val="24"/>
          <w:lang w:val="es-ES"/>
        </w:rPr>
        <w:t xml:space="preserve"> los trabajos de esta corporación</w:t>
      </w:r>
      <w:r w:rsidR="00E029C7" w:rsidRPr="008A2F60">
        <w:rPr>
          <w:rFonts w:ascii="Arial" w:hAnsi="Arial" w:cs="Arial"/>
          <w:color w:val="000000"/>
          <w:sz w:val="24"/>
          <w:szCs w:val="24"/>
          <w:lang w:val="es-ES"/>
        </w:rPr>
        <w:t xml:space="preserve">. </w:t>
      </w:r>
      <w:r w:rsidR="008A2F60">
        <w:rPr>
          <w:rFonts w:ascii="Arial" w:hAnsi="Arial" w:cs="Arial"/>
          <w:color w:val="000000"/>
          <w:sz w:val="24"/>
          <w:szCs w:val="24"/>
          <w:lang w:val="es-ES"/>
        </w:rPr>
        <w:t xml:space="preserve">  </w:t>
      </w:r>
      <w:r w:rsidR="000943AD" w:rsidRPr="008A2F60">
        <w:rPr>
          <w:rFonts w:ascii="Arial" w:hAnsi="Arial" w:cs="Arial"/>
          <w:color w:val="000000"/>
          <w:sz w:val="24"/>
          <w:szCs w:val="24"/>
          <w:lang w:val="es-ES"/>
        </w:rPr>
        <w:t>La AFV está regida por una Junta de Directores compuesta por siete (7) miembros, cinco (5) de los cuales son nombrados por el Gobernador de Puerto Rico. Dos (2) de ellos son miembros ex oficio, los cuales serán los siguientes: el Secretario del Departamento de la Vivienda, quien presidirá la Junta de Directores y el Presidente de la Junta de Directores del</w:t>
      </w:r>
      <w:r w:rsidR="00C86092" w:rsidRPr="008A2F60">
        <w:rPr>
          <w:rFonts w:ascii="Arial" w:hAnsi="Arial" w:cs="Arial"/>
          <w:color w:val="000000"/>
          <w:sz w:val="24"/>
          <w:szCs w:val="24"/>
          <w:lang w:val="es-ES"/>
        </w:rPr>
        <w:t xml:space="preserve"> BGF.</w:t>
      </w:r>
      <w:r w:rsidR="008A2F60">
        <w:rPr>
          <w:rFonts w:ascii="Arial" w:hAnsi="Arial" w:cs="Arial"/>
          <w:color w:val="000000"/>
          <w:sz w:val="24"/>
          <w:szCs w:val="24"/>
          <w:lang w:val="es-ES"/>
        </w:rPr>
        <w:t xml:space="preserve">  </w:t>
      </w:r>
      <w:r w:rsidR="008A2F60" w:rsidRPr="008A2F60">
        <w:rPr>
          <w:rFonts w:ascii="Arial" w:hAnsi="Arial" w:cs="Arial"/>
          <w:color w:val="000000"/>
          <w:sz w:val="24"/>
          <w:szCs w:val="24"/>
          <w:lang w:val="es-ES"/>
        </w:rPr>
        <w:t xml:space="preserve">Al 31 de julio de 2016, la Autoridad contaba con 154 puestos ocupados, 140 regulares, (8) ocho de confianza y (6) seis temporeros.   De los puestos regulares, 28 son puestos </w:t>
      </w:r>
      <w:proofErr w:type="spellStart"/>
      <w:r w:rsidR="008A2F60" w:rsidRPr="008A2F60">
        <w:rPr>
          <w:rFonts w:ascii="Arial" w:hAnsi="Arial" w:cs="Arial"/>
          <w:color w:val="000000"/>
          <w:sz w:val="24"/>
          <w:szCs w:val="24"/>
          <w:lang w:val="es-ES"/>
        </w:rPr>
        <w:t>unionados</w:t>
      </w:r>
      <w:proofErr w:type="spellEnd"/>
      <w:r w:rsidR="008A2F60" w:rsidRPr="008A2F60">
        <w:rPr>
          <w:rFonts w:ascii="Arial" w:hAnsi="Arial" w:cs="Arial"/>
          <w:color w:val="000000"/>
          <w:sz w:val="24"/>
          <w:szCs w:val="24"/>
          <w:lang w:val="es-ES"/>
        </w:rPr>
        <w:t>. Los puestos temporeros eran ocupados para atender licencias y vacantes de puestos críticos para las operaciones.</w:t>
      </w:r>
      <w:r w:rsidR="008A2F60">
        <w:rPr>
          <w:rFonts w:ascii="Arial" w:hAnsi="Arial" w:cs="Arial"/>
          <w:color w:val="000000"/>
          <w:sz w:val="24"/>
          <w:szCs w:val="24"/>
          <w:lang w:val="es-ES"/>
        </w:rPr>
        <w:t xml:space="preserve"> </w:t>
      </w:r>
    </w:p>
    <w:p w:rsidR="000943AD" w:rsidRPr="008A2F60" w:rsidRDefault="000943AD" w:rsidP="000943AD">
      <w:pPr>
        <w:pStyle w:val="Default"/>
        <w:spacing w:line="240" w:lineRule="auto"/>
        <w:jc w:val="both"/>
        <w:rPr>
          <w:rFonts w:ascii="Arial" w:hAnsi="Arial" w:cs="Arial"/>
          <w:lang w:val="es-PR"/>
        </w:rPr>
      </w:pPr>
      <w:r w:rsidRPr="008A2F60">
        <w:rPr>
          <w:rFonts w:ascii="Arial" w:hAnsi="Arial" w:cs="Arial"/>
          <w:lang w:val="es-PR"/>
        </w:rPr>
        <w:t xml:space="preserve">La Autoridad administra </w:t>
      </w:r>
      <w:proofErr w:type="gramStart"/>
      <w:r w:rsidRPr="008A2F60">
        <w:rPr>
          <w:rFonts w:ascii="Arial" w:hAnsi="Arial" w:cs="Arial"/>
          <w:lang w:val="es-PR"/>
        </w:rPr>
        <w:t>la</w:t>
      </w:r>
      <w:proofErr w:type="gramEnd"/>
      <w:r w:rsidRPr="008A2F60">
        <w:rPr>
          <w:rFonts w:ascii="Arial" w:hAnsi="Arial" w:cs="Arial"/>
          <w:lang w:val="es-PR"/>
        </w:rPr>
        <w:t xml:space="preserve"> Puerto Rico </w:t>
      </w:r>
      <w:proofErr w:type="spellStart"/>
      <w:r w:rsidRPr="008A2F60">
        <w:rPr>
          <w:rFonts w:ascii="Arial" w:hAnsi="Arial" w:cs="Arial"/>
          <w:lang w:val="es-PR"/>
        </w:rPr>
        <w:t>Community</w:t>
      </w:r>
      <w:proofErr w:type="spellEnd"/>
      <w:r w:rsidRPr="008A2F60">
        <w:rPr>
          <w:rFonts w:ascii="Arial" w:hAnsi="Arial" w:cs="Arial"/>
          <w:lang w:val="es-PR"/>
        </w:rPr>
        <w:t xml:space="preserve"> </w:t>
      </w:r>
      <w:proofErr w:type="spellStart"/>
      <w:r w:rsidRPr="008A2F60">
        <w:rPr>
          <w:rFonts w:ascii="Arial" w:hAnsi="Arial" w:cs="Arial"/>
          <w:lang w:val="es-PR"/>
        </w:rPr>
        <w:t>Development</w:t>
      </w:r>
      <w:proofErr w:type="spellEnd"/>
      <w:r w:rsidRPr="008A2F60">
        <w:rPr>
          <w:rFonts w:ascii="Arial" w:hAnsi="Arial" w:cs="Arial"/>
          <w:lang w:val="es-PR"/>
        </w:rPr>
        <w:t xml:space="preserve"> </w:t>
      </w:r>
      <w:proofErr w:type="spellStart"/>
      <w:r w:rsidRPr="008A2F60">
        <w:rPr>
          <w:rFonts w:ascii="Arial" w:hAnsi="Arial" w:cs="Arial"/>
          <w:lang w:val="es-PR"/>
        </w:rPr>
        <w:t>Fund</w:t>
      </w:r>
      <w:proofErr w:type="spellEnd"/>
      <w:r w:rsidRPr="008A2F60">
        <w:rPr>
          <w:rFonts w:ascii="Arial" w:hAnsi="Arial" w:cs="Arial"/>
          <w:lang w:val="es-PR"/>
        </w:rPr>
        <w:t xml:space="preserve"> (PRCDF) y sus demás subsidiaria</w:t>
      </w:r>
      <w:r w:rsidR="005D2D1A" w:rsidRPr="008A2F60">
        <w:rPr>
          <w:rFonts w:ascii="Arial" w:hAnsi="Arial" w:cs="Arial"/>
          <w:lang w:val="es-PR"/>
        </w:rPr>
        <w:t>s</w:t>
      </w:r>
      <w:r w:rsidRPr="008A2F60">
        <w:rPr>
          <w:rFonts w:ascii="Arial" w:hAnsi="Arial" w:cs="Arial"/>
          <w:lang w:val="es-PR"/>
        </w:rPr>
        <w:t xml:space="preserve"> PRCDF I. </w:t>
      </w:r>
      <w:r w:rsidR="005D2D1A" w:rsidRPr="008A2F60">
        <w:rPr>
          <w:rFonts w:ascii="Arial" w:hAnsi="Arial" w:cs="Arial"/>
          <w:lang w:val="es-PR"/>
        </w:rPr>
        <w:t xml:space="preserve"> </w:t>
      </w:r>
      <w:r w:rsidRPr="008A2F60">
        <w:rPr>
          <w:rFonts w:ascii="Arial" w:hAnsi="Arial" w:cs="Arial"/>
          <w:lang w:val="es-PR"/>
        </w:rPr>
        <w:t xml:space="preserve">La PRCDF es una corporación de responsabilidad limitada del estado de Delaware cuyos miembros son el Departamento de la Vivienda y la Autoridad en partes iguales. En la actualidad, la Junta de Miembros de PRCDF está integrada por el Secretario de la Vivienda, el Director Ejecutivo y la Directora Ejecutiva Auxiliar de Negocios de la Autoridad. </w:t>
      </w:r>
      <w:r w:rsidR="005D2D1A" w:rsidRPr="008A2F60">
        <w:rPr>
          <w:rFonts w:ascii="Arial" w:hAnsi="Arial" w:cs="Arial"/>
          <w:lang w:val="es-PR"/>
        </w:rPr>
        <w:t xml:space="preserve">  </w:t>
      </w:r>
      <w:r w:rsidRPr="008A2F60">
        <w:rPr>
          <w:rFonts w:ascii="Arial" w:hAnsi="Arial" w:cs="Arial"/>
          <w:lang w:val="es-PR"/>
        </w:rPr>
        <w:t xml:space="preserve">Dicha entidad gestiona un fondo de préstamos de desarrollo de vivienda para la venta bajo el programa de créditos contributivos federal “New </w:t>
      </w:r>
      <w:proofErr w:type="spellStart"/>
      <w:r w:rsidRPr="008A2F60">
        <w:rPr>
          <w:rFonts w:ascii="Arial" w:hAnsi="Arial" w:cs="Arial"/>
          <w:lang w:val="es-PR"/>
        </w:rPr>
        <w:t>Market</w:t>
      </w:r>
      <w:proofErr w:type="spellEnd"/>
      <w:r w:rsidRPr="008A2F60">
        <w:rPr>
          <w:rFonts w:ascii="Arial" w:hAnsi="Arial" w:cs="Arial"/>
          <w:lang w:val="es-PR"/>
        </w:rPr>
        <w:t xml:space="preserve"> </w:t>
      </w:r>
      <w:proofErr w:type="spellStart"/>
      <w:r w:rsidRPr="008A2F60">
        <w:rPr>
          <w:rFonts w:ascii="Arial" w:hAnsi="Arial" w:cs="Arial"/>
          <w:lang w:val="es-PR"/>
        </w:rPr>
        <w:t>Tax</w:t>
      </w:r>
      <w:proofErr w:type="spellEnd"/>
      <w:r w:rsidRPr="008A2F60">
        <w:rPr>
          <w:rFonts w:ascii="Arial" w:hAnsi="Arial" w:cs="Arial"/>
          <w:lang w:val="es-PR"/>
        </w:rPr>
        <w:t xml:space="preserve"> Credit”. </w:t>
      </w:r>
    </w:p>
    <w:p w:rsidR="001856C1" w:rsidRPr="008A2F60" w:rsidRDefault="00670FC7" w:rsidP="00C86092">
      <w:pPr>
        <w:spacing w:line="240" w:lineRule="auto"/>
        <w:contextualSpacing/>
        <w:jc w:val="both"/>
        <w:rPr>
          <w:rFonts w:ascii="Arial" w:hAnsi="Arial" w:cs="Arial"/>
          <w:color w:val="000000"/>
          <w:sz w:val="24"/>
          <w:szCs w:val="24"/>
          <w:lang w:val="es-ES"/>
        </w:rPr>
      </w:pPr>
      <w:r w:rsidRPr="008A2F60">
        <w:rPr>
          <w:rFonts w:ascii="Arial" w:hAnsi="Arial" w:cs="Arial"/>
          <w:color w:val="000000"/>
          <w:sz w:val="24"/>
          <w:szCs w:val="24"/>
          <w:lang w:val="es-ES"/>
        </w:rPr>
        <w:t>La Autoridad administra programas dirigidos a facilitar el acceso a una vivienda digna a las personas y familias de ingresos bajos o moderados en Puerto Rico.</w:t>
      </w:r>
      <w:r w:rsidR="0037474E" w:rsidRPr="008A2F60">
        <w:rPr>
          <w:rFonts w:ascii="Arial" w:hAnsi="Arial" w:cs="Arial"/>
          <w:color w:val="000000"/>
          <w:sz w:val="24"/>
          <w:szCs w:val="24"/>
          <w:lang w:val="es-ES"/>
        </w:rPr>
        <w:t xml:space="preserve">  Esto a</w:t>
      </w:r>
      <w:r w:rsidRPr="008A2F60">
        <w:rPr>
          <w:rFonts w:ascii="Arial" w:hAnsi="Arial" w:cs="Arial"/>
          <w:color w:val="000000"/>
          <w:sz w:val="24"/>
          <w:szCs w:val="24"/>
          <w:lang w:val="es-ES"/>
        </w:rPr>
        <w:t xml:space="preserve"> través de </w:t>
      </w:r>
      <w:r w:rsidR="003D0236" w:rsidRPr="008A2F60">
        <w:rPr>
          <w:rFonts w:ascii="Arial" w:hAnsi="Arial" w:cs="Arial"/>
          <w:color w:val="000000"/>
          <w:sz w:val="24"/>
          <w:szCs w:val="24"/>
          <w:lang w:val="es-ES"/>
        </w:rPr>
        <w:t xml:space="preserve">los </w:t>
      </w:r>
      <w:r w:rsidR="0021016D" w:rsidRPr="008A2F60">
        <w:rPr>
          <w:rFonts w:ascii="Arial" w:hAnsi="Arial" w:cs="Arial"/>
          <w:color w:val="000000"/>
          <w:sz w:val="24"/>
          <w:szCs w:val="24"/>
          <w:lang w:val="es-ES"/>
        </w:rPr>
        <w:t>4</w:t>
      </w:r>
      <w:r w:rsidRPr="008A2F60">
        <w:rPr>
          <w:rFonts w:ascii="Arial" w:hAnsi="Arial" w:cs="Arial"/>
          <w:color w:val="000000"/>
          <w:sz w:val="24"/>
          <w:szCs w:val="24"/>
          <w:lang w:val="es-ES"/>
        </w:rPr>
        <w:t xml:space="preserve"> programas estatales y 5 programas del gobierno federal que administra</w:t>
      </w:r>
      <w:r w:rsidR="00871203" w:rsidRPr="008A2F60">
        <w:rPr>
          <w:rFonts w:ascii="Arial" w:hAnsi="Arial" w:cs="Arial"/>
          <w:color w:val="000000"/>
          <w:sz w:val="24"/>
          <w:szCs w:val="24"/>
          <w:lang w:val="es-ES"/>
        </w:rPr>
        <w:t>.</w:t>
      </w:r>
      <w:r w:rsidRPr="008A2F60">
        <w:rPr>
          <w:rFonts w:ascii="Arial" w:hAnsi="Arial" w:cs="Arial"/>
          <w:color w:val="000000"/>
          <w:sz w:val="24"/>
          <w:szCs w:val="24"/>
          <w:lang w:val="es-ES"/>
        </w:rPr>
        <w:t xml:space="preserve"> </w:t>
      </w:r>
      <w:r w:rsidR="00656031" w:rsidRPr="008A2F60">
        <w:rPr>
          <w:rFonts w:ascii="Arial" w:hAnsi="Arial" w:cs="Arial"/>
          <w:color w:val="000000"/>
          <w:sz w:val="24"/>
          <w:szCs w:val="24"/>
          <w:lang w:val="es-ES"/>
        </w:rPr>
        <w:t xml:space="preserve"> Además, </w:t>
      </w:r>
      <w:r w:rsidR="00871203" w:rsidRPr="008A2F60">
        <w:rPr>
          <w:rFonts w:ascii="Arial" w:hAnsi="Arial" w:cs="Arial"/>
          <w:color w:val="000000"/>
          <w:sz w:val="24"/>
          <w:szCs w:val="24"/>
          <w:lang w:val="es-ES"/>
        </w:rPr>
        <w:t xml:space="preserve">provee </w:t>
      </w:r>
      <w:r w:rsidRPr="008A2F60">
        <w:rPr>
          <w:rFonts w:ascii="Arial" w:hAnsi="Arial" w:cs="Arial"/>
          <w:color w:val="000000"/>
          <w:sz w:val="24"/>
          <w:szCs w:val="24"/>
          <w:lang w:val="es-ES"/>
        </w:rPr>
        <w:t>alternativas de financiamiento y subsidio para ayudar a familias elegibles a adquirir, alquilar, retener, construir o mejorar su propia vivienda; así como promover la construcción de nuevas viviendas de interés social mediante programas de subsidio, financiamiento e incentivos</w:t>
      </w:r>
      <w:r w:rsidR="003D0236" w:rsidRPr="008A2F60">
        <w:rPr>
          <w:rFonts w:ascii="Arial" w:hAnsi="Arial" w:cs="Arial"/>
          <w:color w:val="000000"/>
          <w:sz w:val="24"/>
          <w:szCs w:val="24"/>
          <w:lang w:val="es-ES"/>
        </w:rPr>
        <w:t xml:space="preserve">. Una descripción de los programas </w:t>
      </w:r>
      <w:r w:rsidR="00A56CFC" w:rsidRPr="008A2F60">
        <w:rPr>
          <w:rFonts w:ascii="Arial" w:hAnsi="Arial" w:cs="Arial"/>
          <w:color w:val="000000"/>
          <w:sz w:val="24"/>
          <w:szCs w:val="24"/>
          <w:lang w:val="es-ES"/>
        </w:rPr>
        <w:t xml:space="preserve">forma parte </w:t>
      </w:r>
      <w:r w:rsidR="00151F27" w:rsidRPr="008A2F60">
        <w:rPr>
          <w:rFonts w:ascii="Arial" w:hAnsi="Arial" w:cs="Arial"/>
          <w:color w:val="000000"/>
          <w:sz w:val="24"/>
          <w:szCs w:val="24"/>
          <w:lang w:val="es-ES"/>
        </w:rPr>
        <w:t>del Informe de Transición del Año 2016 radicado en el portal</w:t>
      </w:r>
      <w:r w:rsidR="00C86092" w:rsidRPr="008A2F60">
        <w:rPr>
          <w:rFonts w:ascii="Arial" w:hAnsi="Arial" w:cs="Arial"/>
          <w:color w:val="000000"/>
          <w:sz w:val="24"/>
          <w:szCs w:val="24"/>
          <w:lang w:val="es-ES"/>
        </w:rPr>
        <w:t xml:space="preserve"> creado para dicho proceso</w:t>
      </w:r>
      <w:r w:rsidRPr="008A2F60">
        <w:rPr>
          <w:rFonts w:ascii="Arial" w:hAnsi="Arial" w:cs="Arial"/>
          <w:color w:val="000000"/>
          <w:sz w:val="24"/>
          <w:szCs w:val="24"/>
          <w:lang w:val="es-ES"/>
        </w:rPr>
        <w:t xml:space="preserve">.  </w:t>
      </w:r>
    </w:p>
    <w:p w:rsidR="001856C1" w:rsidRPr="008A2F60" w:rsidRDefault="001856C1" w:rsidP="00C86092">
      <w:pPr>
        <w:spacing w:line="240" w:lineRule="auto"/>
        <w:contextualSpacing/>
        <w:jc w:val="both"/>
        <w:rPr>
          <w:rFonts w:ascii="Arial" w:hAnsi="Arial" w:cs="Arial"/>
          <w:color w:val="000000"/>
          <w:sz w:val="24"/>
          <w:szCs w:val="24"/>
          <w:lang w:val="es-ES"/>
        </w:rPr>
      </w:pPr>
    </w:p>
    <w:p w:rsidR="00F64F3D" w:rsidRPr="008A2F60" w:rsidRDefault="00670FC7" w:rsidP="00C86092">
      <w:pPr>
        <w:spacing w:line="240" w:lineRule="auto"/>
        <w:contextualSpacing/>
        <w:jc w:val="both"/>
        <w:rPr>
          <w:rFonts w:ascii="Arial" w:hAnsi="Arial" w:cs="Arial"/>
          <w:color w:val="000000"/>
          <w:sz w:val="24"/>
          <w:szCs w:val="24"/>
          <w:lang w:val="es-ES"/>
        </w:rPr>
      </w:pPr>
      <w:r w:rsidRPr="008A2F60">
        <w:rPr>
          <w:rFonts w:ascii="Arial" w:hAnsi="Arial" w:cs="Arial"/>
          <w:color w:val="000000"/>
          <w:sz w:val="24"/>
          <w:szCs w:val="24"/>
          <w:lang w:val="es-ES"/>
        </w:rPr>
        <w:lastRenderedPageBreak/>
        <w:t>Al 3</w:t>
      </w:r>
      <w:r w:rsidR="005A61E5" w:rsidRPr="008A2F60">
        <w:rPr>
          <w:rFonts w:ascii="Arial" w:hAnsi="Arial" w:cs="Arial"/>
          <w:color w:val="000000"/>
          <w:sz w:val="24"/>
          <w:szCs w:val="24"/>
          <w:lang w:val="es-ES"/>
        </w:rPr>
        <w:t>0</w:t>
      </w:r>
      <w:r w:rsidRPr="008A2F60">
        <w:rPr>
          <w:rFonts w:ascii="Arial" w:hAnsi="Arial" w:cs="Arial"/>
          <w:color w:val="000000"/>
          <w:sz w:val="24"/>
          <w:szCs w:val="24"/>
          <w:lang w:val="es-ES"/>
        </w:rPr>
        <w:t xml:space="preserve"> de </w:t>
      </w:r>
      <w:r w:rsidR="005A61E5" w:rsidRPr="008A2F60">
        <w:rPr>
          <w:rFonts w:ascii="Arial" w:hAnsi="Arial" w:cs="Arial"/>
          <w:color w:val="000000"/>
          <w:sz w:val="24"/>
          <w:szCs w:val="24"/>
          <w:lang w:val="es-ES"/>
        </w:rPr>
        <w:t>junio</w:t>
      </w:r>
      <w:r w:rsidRPr="008A2F60">
        <w:rPr>
          <w:rFonts w:ascii="Arial" w:hAnsi="Arial" w:cs="Arial"/>
          <w:color w:val="000000"/>
          <w:sz w:val="24"/>
          <w:szCs w:val="24"/>
          <w:lang w:val="es-ES"/>
        </w:rPr>
        <w:t xml:space="preserve"> de 201</w:t>
      </w:r>
      <w:r w:rsidR="005A61E5" w:rsidRPr="008A2F60">
        <w:rPr>
          <w:rFonts w:ascii="Arial" w:hAnsi="Arial" w:cs="Arial"/>
          <w:color w:val="000000"/>
          <w:sz w:val="24"/>
          <w:szCs w:val="24"/>
          <w:lang w:val="es-ES"/>
        </w:rPr>
        <w:t>6</w:t>
      </w:r>
      <w:r w:rsidR="00656031" w:rsidRPr="008A2F60">
        <w:rPr>
          <w:rFonts w:ascii="Arial" w:hAnsi="Arial" w:cs="Arial"/>
          <w:color w:val="000000"/>
          <w:sz w:val="24"/>
          <w:szCs w:val="24"/>
          <w:lang w:val="es-ES"/>
        </w:rPr>
        <w:t>,</w:t>
      </w:r>
      <w:r w:rsidRPr="008A2F60">
        <w:rPr>
          <w:rFonts w:ascii="Arial" w:hAnsi="Arial" w:cs="Arial"/>
          <w:color w:val="000000"/>
          <w:sz w:val="24"/>
          <w:szCs w:val="24"/>
          <w:lang w:val="es-ES"/>
        </w:rPr>
        <w:t xml:space="preserve"> la Autoridad asistía a personas y familias participantes a tener acceso a aproximadamente </w:t>
      </w:r>
      <w:r w:rsidR="001F6C5D" w:rsidRPr="008A2F60">
        <w:rPr>
          <w:rFonts w:ascii="Arial" w:hAnsi="Arial" w:cs="Arial"/>
          <w:color w:val="000000"/>
          <w:sz w:val="24"/>
          <w:szCs w:val="24"/>
          <w:lang w:val="es-ES"/>
        </w:rPr>
        <w:t>4</w:t>
      </w:r>
      <w:r w:rsidR="00D263A6" w:rsidRPr="008A2F60">
        <w:rPr>
          <w:rFonts w:ascii="Arial" w:hAnsi="Arial" w:cs="Arial"/>
          <w:color w:val="000000"/>
          <w:sz w:val="24"/>
          <w:szCs w:val="24"/>
          <w:lang w:val="es-ES"/>
        </w:rPr>
        <w:t>6</w:t>
      </w:r>
      <w:r w:rsidRPr="008A2F60">
        <w:rPr>
          <w:rFonts w:ascii="Arial" w:hAnsi="Arial" w:cs="Arial"/>
          <w:color w:val="000000"/>
          <w:sz w:val="24"/>
          <w:szCs w:val="24"/>
          <w:lang w:val="es-ES"/>
        </w:rPr>
        <w:t>,</w:t>
      </w:r>
      <w:r w:rsidR="00D263A6" w:rsidRPr="008A2F60">
        <w:rPr>
          <w:rFonts w:ascii="Arial" w:hAnsi="Arial" w:cs="Arial"/>
          <w:color w:val="000000"/>
          <w:sz w:val="24"/>
          <w:szCs w:val="24"/>
          <w:lang w:val="es-ES"/>
        </w:rPr>
        <w:t>500</w:t>
      </w:r>
      <w:r w:rsidRPr="008A2F60">
        <w:rPr>
          <w:rFonts w:ascii="Arial" w:hAnsi="Arial" w:cs="Arial"/>
          <w:color w:val="000000"/>
          <w:sz w:val="24"/>
          <w:szCs w:val="24"/>
          <w:lang w:val="es-ES"/>
        </w:rPr>
        <w:t xml:space="preserve"> unidades de vivienda.  A dicha fecha</w:t>
      </w:r>
      <w:r w:rsidR="00656031" w:rsidRPr="008A2F60">
        <w:rPr>
          <w:rFonts w:ascii="Arial" w:hAnsi="Arial" w:cs="Arial"/>
          <w:color w:val="000000"/>
          <w:sz w:val="24"/>
          <w:szCs w:val="24"/>
          <w:lang w:val="es-ES"/>
        </w:rPr>
        <w:t>,</w:t>
      </w:r>
      <w:r w:rsidRPr="008A2F60">
        <w:rPr>
          <w:rFonts w:ascii="Arial" w:hAnsi="Arial" w:cs="Arial"/>
          <w:color w:val="000000"/>
          <w:sz w:val="24"/>
          <w:szCs w:val="24"/>
          <w:lang w:val="es-ES"/>
        </w:rPr>
        <w:t xml:space="preserve"> </w:t>
      </w:r>
      <w:r w:rsidR="0021016D" w:rsidRPr="008A2F60">
        <w:rPr>
          <w:rFonts w:ascii="Arial" w:hAnsi="Arial" w:cs="Arial"/>
          <w:color w:val="000000"/>
          <w:sz w:val="24"/>
          <w:szCs w:val="24"/>
          <w:lang w:val="es-ES"/>
        </w:rPr>
        <w:t>financiaba 13</w:t>
      </w:r>
      <w:r w:rsidR="000D6744" w:rsidRPr="008A2F60">
        <w:rPr>
          <w:rFonts w:ascii="Arial" w:hAnsi="Arial" w:cs="Arial"/>
          <w:color w:val="000000"/>
          <w:sz w:val="24"/>
          <w:szCs w:val="24"/>
          <w:lang w:val="es-ES"/>
        </w:rPr>
        <w:t xml:space="preserve"> </w:t>
      </w:r>
      <w:r w:rsidRPr="008A2F60">
        <w:rPr>
          <w:rFonts w:ascii="Arial" w:hAnsi="Arial" w:cs="Arial"/>
          <w:color w:val="000000"/>
          <w:sz w:val="24"/>
          <w:szCs w:val="24"/>
          <w:lang w:val="es-ES"/>
        </w:rPr>
        <w:t xml:space="preserve">proyectos </w:t>
      </w:r>
      <w:r w:rsidR="003C7C68" w:rsidRPr="008A2F60">
        <w:rPr>
          <w:rFonts w:ascii="Arial" w:hAnsi="Arial" w:cs="Arial"/>
          <w:color w:val="000000"/>
          <w:sz w:val="24"/>
          <w:szCs w:val="24"/>
          <w:lang w:val="es-ES"/>
        </w:rPr>
        <w:t xml:space="preserve">de construcción de vivienda para renta y venta </w:t>
      </w:r>
      <w:r w:rsidRPr="008A2F60">
        <w:rPr>
          <w:rFonts w:ascii="Arial" w:hAnsi="Arial" w:cs="Arial"/>
          <w:color w:val="000000"/>
          <w:sz w:val="24"/>
          <w:szCs w:val="24"/>
          <w:lang w:val="es-ES"/>
        </w:rPr>
        <w:t xml:space="preserve">para un total de </w:t>
      </w:r>
      <w:r w:rsidR="0021016D" w:rsidRPr="008A2F60">
        <w:rPr>
          <w:rFonts w:ascii="Arial" w:hAnsi="Arial" w:cs="Arial"/>
          <w:color w:val="000000"/>
          <w:sz w:val="24"/>
          <w:szCs w:val="24"/>
          <w:lang w:val="es-ES"/>
        </w:rPr>
        <w:t>1,</w:t>
      </w:r>
      <w:r w:rsidR="005A61E5" w:rsidRPr="008A2F60">
        <w:rPr>
          <w:rFonts w:ascii="Arial" w:hAnsi="Arial" w:cs="Arial"/>
          <w:color w:val="000000"/>
          <w:sz w:val="24"/>
          <w:szCs w:val="24"/>
          <w:lang w:val="es-ES"/>
        </w:rPr>
        <w:t>044</w:t>
      </w:r>
      <w:r w:rsidR="003C7C68" w:rsidRPr="008A2F60">
        <w:rPr>
          <w:rFonts w:ascii="Arial" w:hAnsi="Arial" w:cs="Arial"/>
          <w:color w:val="000000"/>
          <w:sz w:val="24"/>
          <w:szCs w:val="24"/>
          <w:lang w:val="es-ES"/>
        </w:rPr>
        <w:t xml:space="preserve"> </w:t>
      </w:r>
      <w:r w:rsidRPr="008A2F60">
        <w:rPr>
          <w:rFonts w:ascii="Arial" w:hAnsi="Arial" w:cs="Arial"/>
          <w:color w:val="000000"/>
          <w:sz w:val="24"/>
          <w:szCs w:val="24"/>
          <w:lang w:val="es-ES"/>
        </w:rPr>
        <w:t xml:space="preserve">unidades. </w:t>
      </w:r>
      <w:r w:rsidR="000D6744" w:rsidRPr="008A2F60">
        <w:rPr>
          <w:rFonts w:ascii="Arial" w:hAnsi="Arial" w:cs="Arial"/>
          <w:color w:val="000000"/>
          <w:sz w:val="24"/>
          <w:szCs w:val="24"/>
          <w:lang w:val="es-ES"/>
        </w:rPr>
        <w:t>D</w:t>
      </w:r>
      <w:r w:rsidR="001F6C5D" w:rsidRPr="008A2F60">
        <w:rPr>
          <w:rFonts w:ascii="Arial" w:hAnsi="Arial" w:cs="Arial"/>
          <w:color w:val="000000"/>
          <w:sz w:val="24"/>
          <w:szCs w:val="24"/>
          <w:lang w:val="es-ES"/>
        </w:rPr>
        <w:t xml:space="preserve">e </w:t>
      </w:r>
      <w:r w:rsidR="000D6744" w:rsidRPr="008A2F60">
        <w:rPr>
          <w:rFonts w:ascii="Arial" w:hAnsi="Arial" w:cs="Arial"/>
          <w:color w:val="000000"/>
          <w:sz w:val="24"/>
          <w:szCs w:val="24"/>
          <w:lang w:val="es-ES"/>
        </w:rPr>
        <w:t xml:space="preserve">las </w:t>
      </w:r>
      <w:r w:rsidR="00F64F3D" w:rsidRPr="008A2F60">
        <w:rPr>
          <w:rFonts w:ascii="Arial" w:hAnsi="Arial" w:cs="Arial"/>
          <w:color w:val="000000"/>
          <w:sz w:val="24"/>
          <w:szCs w:val="24"/>
          <w:lang w:val="es-ES"/>
        </w:rPr>
        <w:t xml:space="preserve">aproximadamente </w:t>
      </w:r>
      <w:r w:rsidR="000D6744" w:rsidRPr="008A2F60">
        <w:rPr>
          <w:rFonts w:ascii="Arial" w:hAnsi="Arial" w:cs="Arial"/>
          <w:color w:val="000000"/>
          <w:sz w:val="24"/>
          <w:szCs w:val="24"/>
          <w:lang w:val="es-ES"/>
        </w:rPr>
        <w:t>4</w:t>
      </w:r>
      <w:r w:rsidR="00D263A6" w:rsidRPr="008A2F60">
        <w:rPr>
          <w:rFonts w:ascii="Arial" w:hAnsi="Arial" w:cs="Arial"/>
          <w:color w:val="000000"/>
          <w:sz w:val="24"/>
          <w:szCs w:val="24"/>
          <w:lang w:val="es-ES"/>
        </w:rPr>
        <w:t>6,500</w:t>
      </w:r>
      <w:r w:rsidR="000D6744" w:rsidRPr="008A2F60">
        <w:rPr>
          <w:rFonts w:ascii="Arial" w:hAnsi="Arial" w:cs="Arial"/>
          <w:color w:val="000000"/>
          <w:sz w:val="24"/>
          <w:szCs w:val="24"/>
          <w:lang w:val="es-ES"/>
        </w:rPr>
        <w:t xml:space="preserve"> unidades, </w:t>
      </w:r>
      <w:r w:rsidR="00F64F3D" w:rsidRPr="008A2F60">
        <w:rPr>
          <w:rFonts w:ascii="Arial" w:hAnsi="Arial" w:cs="Arial"/>
          <w:color w:val="000000"/>
          <w:sz w:val="24"/>
          <w:szCs w:val="24"/>
          <w:lang w:val="es-ES"/>
        </w:rPr>
        <w:t xml:space="preserve">unas </w:t>
      </w:r>
      <w:r w:rsidR="000D6744" w:rsidRPr="008A2F60">
        <w:rPr>
          <w:rFonts w:ascii="Arial" w:hAnsi="Arial" w:cs="Arial"/>
          <w:color w:val="000000"/>
          <w:sz w:val="24"/>
          <w:szCs w:val="24"/>
          <w:lang w:val="es-ES"/>
        </w:rPr>
        <w:t>2</w:t>
      </w:r>
      <w:r w:rsidR="00D263A6" w:rsidRPr="008A2F60">
        <w:rPr>
          <w:rFonts w:ascii="Arial" w:hAnsi="Arial" w:cs="Arial"/>
          <w:color w:val="000000"/>
          <w:sz w:val="24"/>
          <w:szCs w:val="24"/>
          <w:lang w:val="es-ES"/>
        </w:rPr>
        <w:t>3</w:t>
      </w:r>
      <w:r w:rsidR="000D6744" w:rsidRPr="008A2F60">
        <w:rPr>
          <w:rFonts w:ascii="Arial" w:hAnsi="Arial" w:cs="Arial"/>
          <w:color w:val="000000"/>
          <w:sz w:val="24"/>
          <w:szCs w:val="24"/>
          <w:lang w:val="es-ES"/>
        </w:rPr>
        <w:t>,</w:t>
      </w:r>
      <w:r w:rsidR="00D263A6" w:rsidRPr="008A2F60">
        <w:rPr>
          <w:rFonts w:ascii="Arial" w:hAnsi="Arial" w:cs="Arial"/>
          <w:color w:val="000000"/>
          <w:sz w:val="24"/>
          <w:szCs w:val="24"/>
          <w:lang w:val="es-ES"/>
        </w:rPr>
        <w:t>6</w:t>
      </w:r>
      <w:r w:rsidR="003C7C68" w:rsidRPr="008A2F60">
        <w:rPr>
          <w:rFonts w:ascii="Arial" w:hAnsi="Arial" w:cs="Arial"/>
          <w:color w:val="000000"/>
          <w:sz w:val="24"/>
          <w:szCs w:val="24"/>
          <w:lang w:val="es-ES"/>
        </w:rPr>
        <w:t>00</w:t>
      </w:r>
      <w:r w:rsidR="000D6744" w:rsidRPr="008A2F60">
        <w:rPr>
          <w:rFonts w:ascii="Arial" w:hAnsi="Arial" w:cs="Arial"/>
          <w:color w:val="000000"/>
          <w:sz w:val="24"/>
          <w:szCs w:val="24"/>
          <w:lang w:val="es-ES"/>
        </w:rPr>
        <w:t xml:space="preserve"> unidades </w:t>
      </w:r>
      <w:r w:rsidR="003C7C68" w:rsidRPr="008A2F60">
        <w:rPr>
          <w:rFonts w:ascii="Arial" w:hAnsi="Arial" w:cs="Arial"/>
          <w:color w:val="000000"/>
          <w:sz w:val="24"/>
          <w:szCs w:val="24"/>
          <w:lang w:val="es-ES"/>
        </w:rPr>
        <w:t>o un 5</w:t>
      </w:r>
      <w:r w:rsidR="005A61E5" w:rsidRPr="008A2F60">
        <w:rPr>
          <w:rFonts w:ascii="Arial" w:hAnsi="Arial" w:cs="Arial"/>
          <w:color w:val="000000"/>
          <w:sz w:val="24"/>
          <w:szCs w:val="24"/>
          <w:lang w:val="es-ES"/>
        </w:rPr>
        <w:t>0.1</w:t>
      </w:r>
      <w:r w:rsidR="00E4155F" w:rsidRPr="008A2F60">
        <w:rPr>
          <w:rFonts w:ascii="Arial" w:hAnsi="Arial" w:cs="Arial"/>
          <w:color w:val="000000"/>
          <w:sz w:val="24"/>
          <w:szCs w:val="24"/>
          <w:lang w:val="es-ES"/>
        </w:rPr>
        <w:t xml:space="preserve"> </w:t>
      </w:r>
      <w:r w:rsidR="00F64F3D" w:rsidRPr="008A2F60">
        <w:rPr>
          <w:rFonts w:ascii="Arial" w:hAnsi="Arial" w:cs="Arial"/>
          <w:color w:val="000000"/>
          <w:sz w:val="24"/>
          <w:szCs w:val="24"/>
          <w:lang w:val="es-ES"/>
        </w:rPr>
        <w:t xml:space="preserve">% </w:t>
      </w:r>
      <w:r w:rsidR="001F6C5D" w:rsidRPr="008A2F60">
        <w:rPr>
          <w:rFonts w:ascii="Arial" w:hAnsi="Arial" w:cs="Arial"/>
          <w:color w:val="000000"/>
          <w:sz w:val="24"/>
          <w:szCs w:val="24"/>
          <w:lang w:val="es-ES"/>
        </w:rPr>
        <w:t xml:space="preserve">corresponden a programas estatales y </w:t>
      </w:r>
      <w:r w:rsidR="000D6744" w:rsidRPr="008A2F60">
        <w:rPr>
          <w:rFonts w:ascii="Arial" w:hAnsi="Arial" w:cs="Arial"/>
          <w:color w:val="000000"/>
          <w:sz w:val="24"/>
          <w:szCs w:val="24"/>
          <w:lang w:val="es-ES"/>
        </w:rPr>
        <w:t>las restantes 2</w:t>
      </w:r>
      <w:r w:rsidR="00E4155F" w:rsidRPr="008A2F60">
        <w:rPr>
          <w:rFonts w:ascii="Arial" w:hAnsi="Arial" w:cs="Arial"/>
          <w:color w:val="000000"/>
          <w:sz w:val="24"/>
          <w:szCs w:val="24"/>
          <w:lang w:val="es-ES"/>
        </w:rPr>
        <w:t>2</w:t>
      </w:r>
      <w:r w:rsidR="000D6744" w:rsidRPr="008A2F60">
        <w:rPr>
          <w:rFonts w:ascii="Arial" w:hAnsi="Arial" w:cs="Arial"/>
          <w:color w:val="000000"/>
          <w:sz w:val="24"/>
          <w:szCs w:val="24"/>
          <w:lang w:val="es-ES"/>
        </w:rPr>
        <w:t>,</w:t>
      </w:r>
      <w:r w:rsidR="00D263A6" w:rsidRPr="008A2F60">
        <w:rPr>
          <w:rFonts w:ascii="Arial" w:hAnsi="Arial" w:cs="Arial"/>
          <w:color w:val="000000"/>
          <w:sz w:val="24"/>
          <w:szCs w:val="24"/>
          <w:lang w:val="es-ES"/>
        </w:rPr>
        <w:t>8</w:t>
      </w:r>
      <w:r w:rsidR="0021016D" w:rsidRPr="008A2F60">
        <w:rPr>
          <w:rFonts w:ascii="Arial" w:hAnsi="Arial" w:cs="Arial"/>
          <w:color w:val="000000"/>
          <w:sz w:val="24"/>
          <w:szCs w:val="24"/>
          <w:lang w:val="es-ES"/>
        </w:rPr>
        <w:t>0</w:t>
      </w:r>
      <w:r w:rsidR="000D6744" w:rsidRPr="008A2F60">
        <w:rPr>
          <w:rFonts w:ascii="Arial" w:hAnsi="Arial" w:cs="Arial"/>
          <w:color w:val="000000"/>
          <w:sz w:val="24"/>
          <w:szCs w:val="24"/>
          <w:lang w:val="es-ES"/>
        </w:rPr>
        <w:t xml:space="preserve">0 unidades equivalentes a </w:t>
      </w:r>
      <w:r w:rsidR="00E4155F" w:rsidRPr="008A2F60">
        <w:rPr>
          <w:rFonts w:ascii="Arial" w:hAnsi="Arial" w:cs="Arial"/>
          <w:color w:val="000000"/>
          <w:sz w:val="24"/>
          <w:szCs w:val="24"/>
          <w:lang w:val="es-ES"/>
        </w:rPr>
        <w:t>4</w:t>
      </w:r>
      <w:r w:rsidR="00D263A6" w:rsidRPr="008A2F60">
        <w:rPr>
          <w:rFonts w:ascii="Arial" w:hAnsi="Arial" w:cs="Arial"/>
          <w:color w:val="000000"/>
          <w:sz w:val="24"/>
          <w:szCs w:val="24"/>
          <w:lang w:val="es-ES"/>
        </w:rPr>
        <w:t>9.1</w:t>
      </w:r>
      <w:r w:rsidR="00E4155F" w:rsidRPr="008A2F60">
        <w:rPr>
          <w:rFonts w:ascii="Arial" w:hAnsi="Arial" w:cs="Arial"/>
          <w:color w:val="000000"/>
          <w:sz w:val="24"/>
          <w:szCs w:val="24"/>
          <w:lang w:val="es-ES"/>
        </w:rPr>
        <w:t xml:space="preserve"> </w:t>
      </w:r>
      <w:r w:rsidR="000D6744" w:rsidRPr="008A2F60">
        <w:rPr>
          <w:rFonts w:ascii="Arial" w:hAnsi="Arial" w:cs="Arial"/>
          <w:color w:val="000000"/>
          <w:sz w:val="24"/>
          <w:szCs w:val="24"/>
          <w:lang w:val="es-ES"/>
        </w:rPr>
        <w:t xml:space="preserve">% </w:t>
      </w:r>
      <w:r w:rsidR="001F6C5D" w:rsidRPr="008A2F60">
        <w:rPr>
          <w:rFonts w:ascii="Arial" w:hAnsi="Arial" w:cs="Arial"/>
          <w:color w:val="000000"/>
          <w:sz w:val="24"/>
          <w:szCs w:val="24"/>
          <w:lang w:val="es-ES"/>
        </w:rPr>
        <w:t>a programas federales.</w:t>
      </w:r>
      <w:r w:rsidR="000D6744" w:rsidRPr="008A2F60">
        <w:rPr>
          <w:rFonts w:ascii="Arial" w:hAnsi="Arial" w:cs="Arial"/>
          <w:color w:val="000000"/>
          <w:sz w:val="24"/>
          <w:szCs w:val="24"/>
          <w:lang w:val="es-ES"/>
        </w:rPr>
        <w:t xml:space="preserve"> De los programas </w:t>
      </w:r>
      <w:r w:rsidR="00F64F3D" w:rsidRPr="008A2F60">
        <w:rPr>
          <w:rFonts w:ascii="Arial" w:hAnsi="Arial" w:cs="Arial"/>
          <w:color w:val="000000"/>
          <w:sz w:val="24"/>
          <w:szCs w:val="24"/>
          <w:lang w:val="es-ES"/>
        </w:rPr>
        <w:t xml:space="preserve">estatales, un </w:t>
      </w:r>
      <w:r w:rsidR="007D7808" w:rsidRPr="008A2F60">
        <w:rPr>
          <w:rFonts w:ascii="Arial" w:hAnsi="Arial" w:cs="Arial"/>
          <w:color w:val="000000"/>
          <w:sz w:val="24"/>
          <w:szCs w:val="24"/>
          <w:lang w:val="es-ES"/>
        </w:rPr>
        <w:t>5</w:t>
      </w:r>
      <w:r w:rsidR="00BF5972" w:rsidRPr="008A2F60">
        <w:rPr>
          <w:rFonts w:ascii="Arial" w:hAnsi="Arial" w:cs="Arial"/>
          <w:color w:val="000000"/>
          <w:sz w:val="24"/>
          <w:szCs w:val="24"/>
          <w:lang w:val="es-ES"/>
        </w:rPr>
        <w:t>6</w:t>
      </w:r>
      <w:r w:rsidR="007D7808" w:rsidRPr="008A2F60">
        <w:rPr>
          <w:rFonts w:ascii="Arial" w:hAnsi="Arial" w:cs="Arial"/>
          <w:color w:val="000000"/>
          <w:sz w:val="24"/>
          <w:szCs w:val="24"/>
          <w:lang w:val="es-ES"/>
        </w:rPr>
        <w:t>.</w:t>
      </w:r>
      <w:r w:rsidR="00BF5972" w:rsidRPr="008A2F60">
        <w:rPr>
          <w:rFonts w:ascii="Arial" w:hAnsi="Arial" w:cs="Arial"/>
          <w:color w:val="000000"/>
          <w:sz w:val="24"/>
          <w:szCs w:val="24"/>
          <w:lang w:val="es-ES"/>
        </w:rPr>
        <w:t>9</w:t>
      </w:r>
      <w:r w:rsidR="00F64F3D" w:rsidRPr="008A2F60">
        <w:rPr>
          <w:rFonts w:ascii="Arial" w:hAnsi="Arial" w:cs="Arial"/>
          <w:color w:val="000000"/>
          <w:sz w:val="24"/>
          <w:szCs w:val="24"/>
          <w:lang w:val="es-ES"/>
        </w:rPr>
        <w:t>% de las unidades forman parte del programa de seguros hipotecarios de la Ley 87 de 1965</w:t>
      </w:r>
      <w:r w:rsidR="00B12B0D" w:rsidRPr="008A2F60">
        <w:rPr>
          <w:rFonts w:ascii="Arial" w:hAnsi="Arial" w:cs="Arial"/>
          <w:color w:val="000000"/>
          <w:sz w:val="24"/>
          <w:szCs w:val="24"/>
          <w:lang w:val="es-ES"/>
        </w:rPr>
        <w:t xml:space="preserve"> (Ley 87)</w:t>
      </w:r>
      <w:r w:rsidR="00F64F3D" w:rsidRPr="008A2F60">
        <w:rPr>
          <w:rFonts w:ascii="Arial" w:hAnsi="Arial" w:cs="Arial"/>
          <w:color w:val="000000"/>
          <w:sz w:val="24"/>
          <w:szCs w:val="24"/>
          <w:lang w:val="es-ES"/>
        </w:rPr>
        <w:t xml:space="preserve">, un </w:t>
      </w:r>
      <w:r w:rsidR="00BF5972" w:rsidRPr="008A2F60">
        <w:rPr>
          <w:rFonts w:ascii="Arial" w:hAnsi="Arial" w:cs="Arial"/>
          <w:color w:val="000000"/>
          <w:sz w:val="24"/>
          <w:szCs w:val="24"/>
          <w:lang w:val="es-ES"/>
        </w:rPr>
        <w:t>29</w:t>
      </w:r>
      <w:r w:rsidR="007D7808" w:rsidRPr="008A2F60">
        <w:rPr>
          <w:rFonts w:ascii="Arial" w:hAnsi="Arial" w:cs="Arial"/>
          <w:color w:val="000000"/>
          <w:sz w:val="24"/>
          <w:szCs w:val="24"/>
          <w:lang w:val="es-ES"/>
        </w:rPr>
        <w:t>.</w:t>
      </w:r>
      <w:r w:rsidR="00BF5972" w:rsidRPr="008A2F60">
        <w:rPr>
          <w:rFonts w:ascii="Arial" w:hAnsi="Arial" w:cs="Arial"/>
          <w:color w:val="000000"/>
          <w:sz w:val="24"/>
          <w:szCs w:val="24"/>
          <w:lang w:val="es-ES"/>
        </w:rPr>
        <w:t>6</w:t>
      </w:r>
      <w:r w:rsidR="00F64F3D" w:rsidRPr="008A2F60">
        <w:rPr>
          <w:rFonts w:ascii="Arial" w:hAnsi="Arial" w:cs="Arial"/>
          <w:color w:val="000000"/>
          <w:sz w:val="24"/>
          <w:szCs w:val="24"/>
          <w:lang w:val="es-ES"/>
        </w:rPr>
        <w:t xml:space="preserve">% </w:t>
      </w:r>
      <w:r w:rsidR="00BF5972" w:rsidRPr="008A2F60">
        <w:rPr>
          <w:rFonts w:ascii="Arial" w:hAnsi="Arial" w:cs="Arial"/>
          <w:color w:val="000000"/>
          <w:sz w:val="24"/>
          <w:szCs w:val="24"/>
          <w:lang w:val="es-ES"/>
        </w:rPr>
        <w:t xml:space="preserve">a subsidios y un 4.4% </w:t>
      </w:r>
      <w:r w:rsidR="00F64F3D" w:rsidRPr="008A2F60">
        <w:rPr>
          <w:rFonts w:ascii="Arial" w:hAnsi="Arial" w:cs="Arial"/>
          <w:color w:val="000000"/>
          <w:sz w:val="24"/>
          <w:szCs w:val="24"/>
          <w:lang w:val="es-ES"/>
        </w:rPr>
        <w:t xml:space="preserve">a programas de financiamiento. Un </w:t>
      </w:r>
      <w:r w:rsidR="00BF5972" w:rsidRPr="008A2F60">
        <w:rPr>
          <w:rFonts w:ascii="Arial" w:hAnsi="Arial" w:cs="Arial"/>
          <w:color w:val="000000"/>
          <w:sz w:val="24"/>
          <w:szCs w:val="24"/>
          <w:lang w:val="es-ES"/>
        </w:rPr>
        <w:t>79.5</w:t>
      </w:r>
      <w:r w:rsidR="00F64F3D" w:rsidRPr="008A2F60">
        <w:rPr>
          <w:rFonts w:ascii="Arial" w:hAnsi="Arial" w:cs="Arial"/>
          <w:color w:val="000000"/>
          <w:sz w:val="24"/>
          <w:szCs w:val="24"/>
          <w:lang w:val="es-ES"/>
        </w:rPr>
        <w:t>% de las unidades bajo programas federales están bajo el programa “Perform</w:t>
      </w:r>
      <w:r w:rsidR="00366058" w:rsidRPr="008A2F60">
        <w:rPr>
          <w:rFonts w:ascii="Arial" w:hAnsi="Arial" w:cs="Arial"/>
          <w:color w:val="000000"/>
          <w:sz w:val="24"/>
          <w:szCs w:val="24"/>
          <w:lang w:val="es-ES"/>
        </w:rPr>
        <w:t>ance</w:t>
      </w:r>
      <w:r w:rsidR="00F64F3D" w:rsidRPr="008A2F60">
        <w:rPr>
          <w:rFonts w:ascii="Arial" w:hAnsi="Arial" w:cs="Arial"/>
          <w:color w:val="000000"/>
          <w:sz w:val="24"/>
          <w:szCs w:val="24"/>
          <w:lang w:val="es-ES"/>
        </w:rPr>
        <w:t xml:space="preserve"> </w:t>
      </w:r>
      <w:proofErr w:type="spellStart"/>
      <w:r w:rsidR="00F64F3D" w:rsidRPr="008A2F60">
        <w:rPr>
          <w:rFonts w:ascii="Arial" w:hAnsi="Arial" w:cs="Arial"/>
          <w:color w:val="000000"/>
          <w:sz w:val="24"/>
          <w:szCs w:val="24"/>
          <w:lang w:val="es-ES"/>
        </w:rPr>
        <w:t>Based</w:t>
      </w:r>
      <w:proofErr w:type="spellEnd"/>
      <w:r w:rsidR="00F64F3D" w:rsidRPr="008A2F60">
        <w:rPr>
          <w:rFonts w:ascii="Arial" w:hAnsi="Arial" w:cs="Arial"/>
          <w:color w:val="000000"/>
          <w:sz w:val="24"/>
          <w:szCs w:val="24"/>
          <w:lang w:val="es-ES"/>
        </w:rPr>
        <w:t xml:space="preserve"> </w:t>
      </w:r>
      <w:proofErr w:type="spellStart"/>
      <w:r w:rsidR="00F64F3D" w:rsidRPr="008A2F60">
        <w:rPr>
          <w:rFonts w:ascii="Arial" w:hAnsi="Arial" w:cs="Arial"/>
          <w:color w:val="000000"/>
          <w:sz w:val="24"/>
          <w:szCs w:val="24"/>
          <w:lang w:val="es-ES"/>
        </w:rPr>
        <w:t>Contract</w:t>
      </w:r>
      <w:proofErr w:type="spellEnd"/>
      <w:r w:rsidR="00F64F3D" w:rsidRPr="008A2F60">
        <w:rPr>
          <w:rFonts w:ascii="Arial" w:hAnsi="Arial" w:cs="Arial"/>
          <w:color w:val="000000"/>
          <w:sz w:val="24"/>
          <w:szCs w:val="24"/>
          <w:lang w:val="es-ES"/>
        </w:rPr>
        <w:t xml:space="preserve"> </w:t>
      </w:r>
      <w:proofErr w:type="spellStart"/>
      <w:r w:rsidR="00F64F3D" w:rsidRPr="008A2F60">
        <w:rPr>
          <w:rFonts w:ascii="Arial" w:hAnsi="Arial" w:cs="Arial"/>
          <w:color w:val="000000"/>
          <w:sz w:val="24"/>
          <w:szCs w:val="24"/>
          <w:lang w:val="es-ES"/>
        </w:rPr>
        <w:t>Admini</w:t>
      </w:r>
      <w:r w:rsidR="00582099" w:rsidRPr="008A2F60">
        <w:rPr>
          <w:rFonts w:ascii="Arial" w:hAnsi="Arial" w:cs="Arial"/>
          <w:color w:val="000000"/>
          <w:sz w:val="24"/>
          <w:szCs w:val="24"/>
          <w:lang w:val="es-ES"/>
        </w:rPr>
        <w:t>s</w:t>
      </w:r>
      <w:r w:rsidR="00F64F3D" w:rsidRPr="008A2F60">
        <w:rPr>
          <w:rFonts w:ascii="Arial" w:hAnsi="Arial" w:cs="Arial"/>
          <w:color w:val="000000"/>
          <w:sz w:val="24"/>
          <w:szCs w:val="24"/>
          <w:lang w:val="es-ES"/>
        </w:rPr>
        <w:t>tration</w:t>
      </w:r>
      <w:proofErr w:type="spellEnd"/>
      <w:r w:rsidR="00F64F3D" w:rsidRPr="008A2F60">
        <w:rPr>
          <w:rFonts w:ascii="Arial" w:hAnsi="Arial" w:cs="Arial"/>
          <w:color w:val="000000"/>
          <w:sz w:val="24"/>
          <w:szCs w:val="24"/>
          <w:lang w:val="es-ES"/>
        </w:rPr>
        <w:t>”</w:t>
      </w:r>
      <w:r w:rsidR="00B12B0D" w:rsidRPr="008A2F60">
        <w:rPr>
          <w:rFonts w:ascii="Arial" w:hAnsi="Arial" w:cs="Arial"/>
          <w:color w:val="000000"/>
          <w:sz w:val="24"/>
          <w:szCs w:val="24"/>
          <w:lang w:val="es-ES"/>
        </w:rPr>
        <w:t xml:space="preserve"> (PBCA)</w:t>
      </w:r>
      <w:r w:rsidR="00BF5972" w:rsidRPr="008A2F60">
        <w:rPr>
          <w:rFonts w:ascii="Arial" w:hAnsi="Arial" w:cs="Arial"/>
          <w:color w:val="000000"/>
          <w:sz w:val="24"/>
          <w:szCs w:val="24"/>
          <w:lang w:val="es-ES"/>
        </w:rPr>
        <w:t xml:space="preserve">; </w:t>
      </w:r>
      <w:r w:rsidR="00366058" w:rsidRPr="008A2F60">
        <w:rPr>
          <w:rFonts w:ascii="Arial" w:hAnsi="Arial" w:cs="Arial"/>
          <w:color w:val="000000"/>
          <w:sz w:val="24"/>
          <w:szCs w:val="24"/>
          <w:lang w:val="es-ES"/>
        </w:rPr>
        <w:t xml:space="preserve"> </w:t>
      </w:r>
      <w:r w:rsidR="00BF5972" w:rsidRPr="008A2F60">
        <w:rPr>
          <w:rFonts w:ascii="Arial" w:hAnsi="Arial" w:cs="Arial"/>
          <w:color w:val="000000"/>
          <w:sz w:val="24"/>
          <w:szCs w:val="24"/>
          <w:lang w:val="es-ES"/>
        </w:rPr>
        <w:t>11.3</w:t>
      </w:r>
      <w:r w:rsidR="00366058" w:rsidRPr="008A2F60">
        <w:rPr>
          <w:rFonts w:ascii="Arial" w:hAnsi="Arial" w:cs="Arial"/>
          <w:color w:val="000000"/>
          <w:sz w:val="24"/>
          <w:szCs w:val="24"/>
          <w:lang w:val="es-ES"/>
        </w:rPr>
        <w:t>%  bajo el programa Sección 8</w:t>
      </w:r>
      <w:r w:rsidR="00BF5972" w:rsidRPr="008A2F60">
        <w:rPr>
          <w:rFonts w:ascii="Arial" w:hAnsi="Arial" w:cs="Arial"/>
          <w:color w:val="000000"/>
          <w:sz w:val="24"/>
          <w:szCs w:val="24"/>
          <w:lang w:val="es-ES"/>
        </w:rPr>
        <w:t>;</w:t>
      </w:r>
      <w:r w:rsidR="00366058" w:rsidRPr="008A2F60">
        <w:rPr>
          <w:rFonts w:ascii="Arial" w:hAnsi="Arial" w:cs="Arial"/>
          <w:color w:val="000000"/>
          <w:sz w:val="24"/>
          <w:szCs w:val="24"/>
          <w:lang w:val="es-ES"/>
        </w:rPr>
        <w:t xml:space="preserve"> </w:t>
      </w:r>
      <w:r w:rsidR="007D7808" w:rsidRPr="008A2F60">
        <w:rPr>
          <w:rFonts w:ascii="Arial" w:hAnsi="Arial" w:cs="Arial"/>
          <w:color w:val="000000"/>
          <w:sz w:val="24"/>
          <w:szCs w:val="24"/>
          <w:lang w:val="es-ES"/>
        </w:rPr>
        <w:t>4.</w:t>
      </w:r>
      <w:r w:rsidR="00BF5972" w:rsidRPr="008A2F60">
        <w:rPr>
          <w:rFonts w:ascii="Arial" w:hAnsi="Arial" w:cs="Arial"/>
          <w:color w:val="000000"/>
          <w:sz w:val="24"/>
          <w:szCs w:val="24"/>
          <w:lang w:val="es-ES"/>
        </w:rPr>
        <w:t>7</w:t>
      </w:r>
      <w:r w:rsidR="007D7808" w:rsidRPr="008A2F60">
        <w:rPr>
          <w:rFonts w:ascii="Arial" w:hAnsi="Arial" w:cs="Arial"/>
          <w:color w:val="000000"/>
          <w:sz w:val="24"/>
          <w:szCs w:val="24"/>
          <w:lang w:val="es-ES"/>
        </w:rPr>
        <w:t xml:space="preserve"> </w:t>
      </w:r>
      <w:r w:rsidR="00E4155F" w:rsidRPr="008A2F60">
        <w:rPr>
          <w:rFonts w:ascii="Arial" w:hAnsi="Arial" w:cs="Arial"/>
          <w:color w:val="000000"/>
          <w:sz w:val="24"/>
          <w:szCs w:val="24"/>
          <w:lang w:val="es-ES"/>
        </w:rPr>
        <w:t xml:space="preserve">% a programa </w:t>
      </w:r>
      <w:r w:rsidR="00B12B0D" w:rsidRPr="008A2F60">
        <w:rPr>
          <w:rFonts w:ascii="Arial" w:hAnsi="Arial" w:cs="Arial"/>
          <w:color w:val="000000"/>
          <w:sz w:val="24"/>
          <w:szCs w:val="24"/>
          <w:lang w:val="es-ES"/>
        </w:rPr>
        <w:t>“</w:t>
      </w:r>
      <w:proofErr w:type="spellStart"/>
      <w:r w:rsidR="00B12B0D" w:rsidRPr="008A2F60">
        <w:rPr>
          <w:rFonts w:ascii="Arial" w:hAnsi="Arial" w:cs="Arial"/>
          <w:color w:val="000000"/>
          <w:sz w:val="24"/>
          <w:szCs w:val="24"/>
          <w:lang w:val="es-ES"/>
        </w:rPr>
        <w:t>Low</w:t>
      </w:r>
      <w:proofErr w:type="spellEnd"/>
      <w:r w:rsidR="00B12B0D" w:rsidRPr="008A2F60">
        <w:rPr>
          <w:rFonts w:ascii="Arial" w:hAnsi="Arial" w:cs="Arial"/>
          <w:color w:val="000000"/>
          <w:sz w:val="24"/>
          <w:szCs w:val="24"/>
          <w:lang w:val="es-ES"/>
        </w:rPr>
        <w:t xml:space="preserve"> </w:t>
      </w:r>
      <w:proofErr w:type="spellStart"/>
      <w:r w:rsidR="00B12B0D" w:rsidRPr="008A2F60">
        <w:rPr>
          <w:rFonts w:ascii="Arial" w:hAnsi="Arial" w:cs="Arial"/>
          <w:color w:val="000000"/>
          <w:sz w:val="24"/>
          <w:szCs w:val="24"/>
          <w:lang w:val="es-ES"/>
        </w:rPr>
        <w:t>Income</w:t>
      </w:r>
      <w:proofErr w:type="spellEnd"/>
      <w:r w:rsidR="00B12B0D" w:rsidRPr="008A2F60">
        <w:rPr>
          <w:rFonts w:ascii="Arial" w:hAnsi="Arial" w:cs="Arial"/>
          <w:color w:val="000000"/>
          <w:sz w:val="24"/>
          <w:szCs w:val="24"/>
          <w:lang w:val="es-ES"/>
        </w:rPr>
        <w:t xml:space="preserve"> </w:t>
      </w:r>
      <w:proofErr w:type="spellStart"/>
      <w:r w:rsidR="00B12B0D" w:rsidRPr="008A2F60">
        <w:rPr>
          <w:rFonts w:ascii="Arial" w:hAnsi="Arial" w:cs="Arial"/>
          <w:color w:val="000000"/>
          <w:sz w:val="24"/>
          <w:szCs w:val="24"/>
          <w:lang w:val="es-ES"/>
        </w:rPr>
        <w:t>Housing</w:t>
      </w:r>
      <w:proofErr w:type="spellEnd"/>
      <w:r w:rsidR="00B12B0D" w:rsidRPr="008A2F60">
        <w:rPr>
          <w:rFonts w:ascii="Arial" w:hAnsi="Arial" w:cs="Arial"/>
          <w:color w:val="000000"/>
          <w:sz w:val="24"/>
          <w:szCs w:val="24"/>
          <w:lang w:val="es-ES"/>
        </w:rPr>
        <w:t xml:space="preserve"> </w:t>
      </w:r>
      <w:proofErr w:type="spellStart"/>
      <w:r w:rsidR="00B12B0D" w:rsidRPr="008A2F60">
        <w:rPr>
          <w:rFonts w:ascii="Arial" w:hAnsi="Arial" w:cs="Arial"/>
          <w:color w:val="000000"/>
          <w:sz w:val="24"/>
          <w:szCs w:val="24"/>
          <w:lang w:val="es-ES"/>
        </w:rPr>
        <w:t>Tax</w:t>
      </w:r>
      <w:proofErr w:type="spellEnd"/>
      <w:r w:rsidR="00B12B0D" w:rsidRPr="008A2F60">
        <w:rPr>
          <w:rFonts w:ascii="Arial" w:hAnsi="Arial" w:cs="Arial"/>
          <w:color w:val="000000"/>
          <w:sz w:val="24"/>
          <w:szCs w:val="24"/>
          <w:lang w:val="es-ES"/>
        </w:rPr>
        <w:t xml:space="preserve"> Credit” (</w:t>
      </w:r>
      <w:r w:rsidR="00E4155F" w:rsidRPr="008A2F60">
        <w:rPr>
          <w:rFonts w:ascii="Arial" w:hAnsi="Arial" w:cs="Arial"/>
          <w:color w:val="000000"/>
          <w:sz w:val="24"/>
          <w:szCs w:val="24"/>
          <w:lang w:val="es-ES"/>
        </w:rPr>
        <w:t>LITHC</w:t>
      </w:r>
      <w:r w:rsidR="00B12B0D" w:rsidRPr="008A2F60">
        <w:rPr>
          <w:rFonts w:ascii="Arial" w:hAnsi="Arial" w:cs="Arial"/>
          <w:color w:val="000000"/>
          <w:sz w:val="24"/>
          <w:szCs w:val="24"/>
          <w:lang w:val="es-ES"/>
        </w:rPr>
        <w:t>)</w:t>
      </w:r>
      <w:r w:rsidR="00E4155F" w:rsidRPr="008A2F60">
        <w:rPr>
          <w:rFonts w:ascii="Arial" w:hAnsi="Arial" w:cs="Arial"/>
          <w:color w:val="000000"/>
          <w:sz w:val="24"/>
          <w:szCs w:val="24"/>
          <w:lang w:val="es-ES"/>
        </w:rPr>
        <w:t xml:space="preserve">, </w:t>
      </w:r>
      <w:r w:rsidR="007D7808" w:rsidRPr="008A2F60">
        <w:rPr>
          <w:rFonts w:ascii="Arial" w:hAnsi="Arial" w:cs="Arial"/>
          <w:color w:val="000000"/>
          <w:sz w:val="24"/>
          <w:szCs w:val="24"/>
          <w:lang w:val="es-ES"/>
        </w:rPr>
        <w:t>1.7</w:t>
      </w:r>
      <w:r w:rsidR="00366058" w:rsidRPr="008A2F60">
        <w:rPr>
          <w:rFonts w:ascii="Arial" w:hAnsi="Arial" w:cs="Arial"/>
          <w:color w:val="000000"/>
          <w:sz w:val="24"/>
          <w:szCs w:val="24"/>
          <w:lang w:val="es-ES"/>
        </w:rPr>
        <w:t xml:space="preserve">% al </w:t>
      </w:r>
      <w:r w:rsidR="00582099" w:rsidRPr="008A2F60">
        <w:rPr>
          <w:rFonts w:ascii="Arial" w:hAnsi="Arial" w:cs="Arial"/>
          <w:color w:val="000000"/>
          <w:sz w:val="24"/>
          <w:szCs w:val="24"/>
          <w:lang w:val="es-ES"/>
        </w:rPr>
        <w:t>P</w:t>
      </w:r>
      <w:r w:rsidR="00F7263F" w:rsidRPr="008A2F60">
        <w:rPr>
          <w:rFonts w:ascii="Arial" w:hAnsi="Arial" w:cs="Arial"/>
          <w:color w:val="000000"/>
          <w:sz w:val="24"/>
          <w:szCs w:val="24"/>
          <w:lang w:val="es-ES"/>
        </w:rPr>
        <w:t>r</w:t>
      </w:r>
      <w:r w:rsidR="00366058" w:rsidRPr="008A2F60">
        <w:rPr>
          <w:rFonts w:ascii="Arial" w:hAnsi="Arial" w:cs="Arial"/>
          <w:color w:val="000000"/>
          <w:sz w:val="24"/>
          <w:szCs w:val="24"/>
          <w:lang w:val="es-ES"/>
        </w:rPr>
        <w:t xml:space="preserve">ograma HOME y un </w:t>
      </w:r>
      <w:r w:rsidR="007D7808" w:rsidRPr="008A2F60">
        <w:rPr>
          <w:rFonts w:ascii="Arial" w:hAnsi="Arial" w:cs="Arial"/>
          <w:color w:val="000000"/>
          <w:sz w:val="24"/>
          <w:szCs w:val="24"/>
          <w:lang w:val="es-ES"/>
        </w:rPr>
        <w:t>2.8</w:t>
      </w:r>
      <w:r w:rsidR="00366058" w:rsidRPr="008A2F60">
        <w:rPr>
          <w:rFonts w:ascii="Arial" w:hAnsi="Arial" w:cs="Arial"/>
          <w:color w:val="000000"/>
          <w:sz w:val="24"/>
          <w:szCs w:val="24"/>
          <w:lang w:val="es-ES"/>
        </w:rPr>
        <w:t xml:space="preserve">% al programa “New </w:t>
      </w:r>
      <w:proofErr w:type="spellStart"/>
      <w:r w:rsidR="00366058" w:rsidRPr="008A2F60">
        <w:rPr>
          <w:rFonts w:ascii="Arial" w:hAnsi="Arial" w:cs="Arial"/>
          <w:color w:val="000000"/>
          <w:sz w:val="24"/>
          <w:szCs w:val="24"/>
          <w:lang w:val="es-ES"/>
        </w:rPr>
        <w:t>Market</w:t>
      </w:r>
      <w:proofErr w:type="spellEnd"/>
      <w:r w:rsidR="00366058" w:rsidRPr="008A2F60">
        <w:rPr>
          <w:rFonts w:ascii="Arial" w:hAnsi="Arial" w:cs="Arial"/>
          <w:color w:val="000000"/>
          <w:sz w:val="24"/>
          <w:szCs w:val="24"/>
          <w:lang w:val="es-ES"/>
        </w:rPr>
        <w:t xml:space="preserve"> </w:t>
      </w:r>
      <w:proofErr w:type="spellStart"/>
      <w:r w:rsidR="00366058" w:rsidRPr="008A2F60">
        <w:rPr>
          <w:rFonts w:ascii="Arial" w:hAnsi="Arial" w:cs="Arial"/>
          <w:color w:val="000000"/>
          <w:sz w:val="24"/>
          <w:szCs w:val="24"/>
          <w:lang w:val="es-ES"/>
        </w:rPr>
        <w:t>Tax</w:t>
      </w:r>
      <w:proofErr w:type="spellEnd"/>
      <w:r w:rsidR="00366058" w:rsidRPr="008A2F60">
        <w:rPr>
          <w:rFonts w:ascii="Arial" w:hAnsi="Arial" w:cs="Arial"/>
          <w:color w:val="000000"/>
          <w:sz w:val="24"/>
          <w:szCs w:val="24"/>
          <w:lang w:val="es-ES"/>
        </w:rPr>
        <w:t xml:space="preserve"> Credit”</w:t>
      </w:r>
      <w:r w:rsidR="00B12B0D" w:rsidRPr="008A2F60">
        <w:rPr>
          <w:rFonts w:ascii="Arial" w:hAnsi="Arial" w:cs="Arial"/>
          <w:color w:val="000000"/>
          <w:sz w:val="24"/>
          <w:szCs w:val="24"/>
          <w:lang w:val="es-ES"/>
        </w:rPr>
        <w:t xml:space="preserve"> (NMTC)</w:t>
      </w:r>
      <w:r w:rsidR="00F64F3D" w:rsidRPr="008A2F60">
        <w:rPr>
          <w:rFonts w:ascii="Arial" w:hAnsi="Arial" w:cs="Arial"/>
          <w:color w:val="000000"/>
          <w:sz w:val="24"/>
          <w:szCs w:val="24"/>
          <w:lang w:val="es-ES"/>
        </w:rPr>
        <w:t>.</w:t>
      </w:r>
      <w:r w:rsidR="00366058" w:rsidRPr="008A2F60">
        <w:rPr>
          <w:rFonts w:ascii="Arial" w:hAnsi="Arial" w:cs="Arial"/>
          <w:color w:val="000000"/>
          <w:sz w:val="24"/>
          <w:szCs w:val="24"/>
          <w:lang w:val="es-ES"/>
        </w:rPr>
        <w:t xml:space="preserve"> </w:t>
      </w:r>
    </w:p>
    <w:p w:rsidR="00871203" w:rsidRPr="008A2F60" w:rsidRDefault="00871203" w:rsidP="00C86092">
      <w:pPr>
        <w:spacing w:line="240" w:lineRule="auto"/>
        <w:contextualSpacing/>
        <w:jc w:val="both"/>
        <w:rPr>
          <w:rFonts w:ascii="Arial" w:hAnsi="Arial" w:cs="Arial"/>
          <w:color w:val="000000"/>
          <w:sz w:val="24"/>
          <w:szCs w:val="24"/>
          <w:lang w:val="es-ES"/>
        </w:rPr>
      </w:pPr>
    </w:p>
    <w:p w:rsidR="00151F27" w:rsidRPr="008A2F60" w:rsidRDefault="0001039F" w:rsidP="00C86092">
      <w:pPr>
        <w:spacing w:line="240" w:lineRule="auto"/>
        <w:jc w:val="both"/>
        <w:rPr>
          <w:rFonts w:ascii="Arial" w:hAnsi="Arial" w:cs="Arial"/>
          <w:color w:val="000000"/>
          <w:sz w:val="24"/>
          <w:szCs w:val="24"/>
          <w:lang w:val="es-ES"/>
        </w:rPr>
      </w:pPr>
      <w:r w:rsidRPr="008A2F60">
        <w:rPr>
          <w:rFonts w:ascii="Arial" w:hAnsi="Arial" w:cs="Arial"/>
          <w:color w:val="000000"/>
          <w:sz w:val="24"/>
          <w:szCs w:val="24"/>
          <w:lang w:val="es-ES"/>
        </w:rPr>
        <w:t>Los estados financieros auditados de la Autoridad para los años fiscales desde el 2009 al 201</w:t>
      </w:r>
      <w:r w:rsidR="007D7808" w:rsidRPr="008A2F60">
        <w:rPr>
          <w:rFonts w:ascii="Arial" w:hAnsi="Arial" w:cs="Arial"/>
          <w:color w:val="000000"/>
          <w:sz w:val="24"/>
          <w:szCs w:val="24"/>
          <w:lang w:val="es-ES"/>
        </w:rPr>
        <w:t>5</w:t>
      </w:r>
      <w:r w:rsidRPr="008A2F60">
        <w:rPr>
          <w:rFonts w:ascii="Arial" w:hAnsi="Arial" w:cs="Arial"/>
          <w:color w:val="000000"/>
          <w:sz w:val="24"/>
          <w:szCs w:val="24"/>
          <w:lang w:val="es-ES"/>
        </w:rPr>
        <w:t xml:space="preserve"> reflejan una pérdida acumulada en la pos</w:t>
      </w:r>
      <w:r w:rsidR="00E4155F" w:rsidRPr="008A2F60">
        <w:rPr>
          <w:rFonts w:ascii="Arial" w:hAnsi="Arial" w:cs="Arial"/>
          <w:color w:val="000000"/>
          <w:sz w:val="24"/>
          <w:szCs w:val="24"/>
          <w:lang w:val="es-ES"/>
        </w:rPr>
        <w:t>ición neta de aproximadamente $</w:t>
      </w:r>
      <w:r w:rsidR="007D7808" w:rsidRPr="008A2F60">
        <w:rPr>
          <w:rFonts w:ascii="Arial" w:hAnsi="Arial" w:cs="Arial"/>
          <w:color w:val="000000"/>
          <w:sz w:val="24"/>
          <w:szCs w:val="24"/>
          <w:lang w:val="es-ES"/>
        </w:rPr>
        <w:t>215</w:t>
      </w:r>
      <w:r w:rsidRPr="008A2F60">
        <w:rPr>
          <w:rFonts w:ascii="Arial" w:hAnsi="Arial" w:cs="Arial"/>
          <w:color w:val="000000"/>
          <w:sz w:val="24"/>
          <w:szCs w:val="24"/>
          <w:lang w:val="es-ES"/>
        </w:rPr>
        <w:t xml:space="preserve"> millones. La posición neta de la Autoridad al inicio del año fiscal 2009 ascendió a aproximadamente $62</w:t>
      </w:r>
      <w:r w:rsidR="00E4155F" w:rsidRPr="008A2F60">
        <w:rPr>
          <w:rFonts w:ascii="Arial" w:hAnsi="Arial" w:cs="Arial"/>
          <w:color w:val="000000"/>
          <w:sz w:val="24"/>
          <w:szCs w:val="24"/>
          <w:lang w:val="es-ES"/>
        </w:rPr>
        <w:t>9</w:t>
      </w:r>
      <w:r w:rsidRPr="008A2F60">
        <w:rPr>
          <w:rFonts w:ascii="Arial" w:hAnsi="Arial" w:cs="Arial"/>
          <w:color w:val="000000"/>
          <w:sz w:val="24"/>
          <w:szCs w:val="24"/>
          <w:lang w:val="es-ES"/>
        </w:rPr>
        <w:t xml:space="preserve"> </w:t>
      </w:r>
      <w:r w:rsidR="009C4CB2" w:rsidRPr="008A2F60">
        <w:rPr>
          <w:rFonts w:ascii="Arial" w:hAnsi="Arial" w:cs="Arial"/>
          <w:color w:val="000000"/>
          <w:sz w:val="24"/>
          <w:szCs w:val="24"/>
          <w:lang w:val="es-ES"/>
        </w:rPr>
        <w:t xml:space="preserve">millones </w:t>
      </w:r>
      <w:r w:rsidRPr="008A2F60">
        <w:rPr>
          <w:rFonts w:ascii="Arial" w:hAnsi="Arial" w:cs="Arial"/>
          <w:color w:val="000000"/>
          <w:sz w:val="24"/>
          <w:szCs w:val="24"/>
          <w:lang w:val="es-ES"/>
        </w:rPr>
        <w:t>y al cierre del año fiscal 201</w:t>
      </w:r>
      <w:r w:rsidR="00E25651" w:rsidRPr="008A2F60">
        <w:rPr>
          <w:rFonts w:ascii="Arial" w:hAnsi="Arial" w:cs="Arial"/>
          <w:color w:val="000000"/>
          <w:sz w:val="24"/>
          <w:szCs w:val="24"/>
          <w:lang w:val="es-ES"/>
        </w:rPr>
        <w:t>5</w:t>
      </w:r>
      <w:r w:rsidRPr="008A2F60">
        <w:rPr>
          <w:rFonts w:ascii="Arial" w:hAnsi="Arial" w:cs="Arial"/>
          <w:color w:val="000000"/>
          <w:sz w:val="24"/>
          <w:szCs w:val="24"/>
          <w:lang w:val="es-ES"/>
        </w:rPr>
        <w:t xml:space="preserve"> era de aproximadamente $</w:t>
      </w:r>
      <w:r w:rsidR="00E4155F" w:rsidRPr="008A2F60">
        <w:rPr>
          <w:rFonts w:ascii="Arial" w:hAnsi="Arial" w:cs="Arial"/>
          <w:color w:val="000000"/>
          <w:sz w:val="24"/>
          <w:szCs w:val="24"/>
          <w:lang w:val="es-ES"/>
        </w:rPr>
        <w:t>4</w:t>
      </w:r>
      <w:r w:rsidR="007D7808" w:rsidRPr="008A2F60">
        <w:rPr>
          <w:rFonts w:ascii="Arial" w:hAnsi="Arial" w:cs="Arial"/>
          <w:color w:val="000000"/>
          <w:sz w:val="24"/>
          <w:szCs w:val="24"/>
          <w:lang w:val="es-ES"/>
        </w:rPr>
        <w:t>14</w:t>
      </w:r>
      <w:r w:rsidRPr="008A2F60">
        <w:rPr>
          <w:rFonts w:ascii="Arial" w:hAnsi="Arial" w:cs="Arial"/>
          <w:color w:val="000000"/>
          <w:sz w:val="24"/>
          <w:szCs w:val="24"/>
          <w:lang w:val="es-ES"/>
        </w:rPr>
        <w:t xml:space="preserve"> millones. </w:t>
      </w:r>
      <w:r w:rsidR="00151F27" w:rsidRPr="008A2F60">
        <w:rPr>
          <w:rFonts w:ascii="Arial" w:hAnsi="Arial" w:cs="Arial"/>
          <w:color w:val="000000"/>
          <w:sz w:val="24"/>
          <w:szCs w:val="24"/>
          <w:lang w:val="es-ES"/>
        </w:rPr>
        <w:t xml:space="preserve">La pérdida del periodo hasta el 30 de junio de 2015 representa un 34% de la posición Neta de la Autoridad al 30 de junio de 2008. A mediados del mes de octubre de 2016 los trabajos de la auditoría financiera del año fiscal 2016 estaban completados en más de un </w:t>
      </w:r>
      <w:r w:rsidR="00C12418" w:rsidRPr="008A2F60">
        <w:rPr>
          <w:rFonts w:ascii="Arial" w:hAnsi="Arial" w:cs="Arial"/>
          <w:color w:val="000000"/>
          <w:sz w:val="24"/>
          <w:szCs w:val="24"/>
          <w:lang w:val="es-ES"/>
        </w:rPr>
        <w:t>40</w:t>
      </w:r>
      <w:r w:rsidR="00151F27" w:rsidRPr="008A2F60">
        <w:rPr>
          <w:rFonts w:ascii="Arial" w:hAnsi="Arial" w:cs="Arial"/>
          <w:color w:val="000000"/>
          <w:sz w:val="24"/>
          <w:szCs w:val="24"/>
          <w:lang w:val="es-ES"/>
        </w:rPr>
        <w:t>%, en línea con el plan de trabajo de la auditoría.</w:t>
      </w:r>
    </w:p>
    <w:p w:rsidR="008A2F60" w:rsidRDefault="00D41664" w:rsidP="008A2F60">
      <w:pPr>
        <w:spacing w:after="120" w:line="240" w:lineRule="auto"/>
        <w:contextualSpacing/>
        <w:jc w:val="both"/>
        <w:rPr>
          <w:rFonts w:ascii="Arial" w:hAnsi="Arial" w:cs="Arial"/>
          <w:color w:val="000000"/>
          <w:sz w:val="24"/>
          <w:szCs w:val="24"/>
          <w:lang w:val="es-ES"/>
        </w:rPr>
      </w:pPr>
      <w:r w:rsidRPr="008A2F60">
        <w:rPr>
          <w:rFonts w:ascii="Arial" w:hAnsi="Arial" w:cs="Arial"/>
          <w:color w:val="000000"/>
          <w:sz w:val="24"/>
          <w:szCs w:val="24"/>
          <w:lang w:val="es-ES"/>
        </w:rPr>
        <w:t>La tendencia a la pérdida en la posición neta obedeció principalmente a la política pública de estímulo económico a la industria de la vivienda</w:t>
      </w:r>
      <w:r w:rsidR="00822428" w:rsidRPr="008A2F60">
        <w:rPr>
          <w:rFonts w:ascii="Arial" w:hAnsi="Arial" w:cs="Arial"/>
          <w:color w:val="000000"/>
          <w:sz w:val="24"/>
          <w:szCs w:val="24"/>
          <w:lang w:val="es-ES"/>
        </w:rPr>
        <w:t xml:space="preserve"> a partir del año 2009</w:t>
      </w:r>
      <w:r w:rsidRPr="008A2F60">
        <w:rPr>
          <w:rFonts w:ascii="Arial" w:hAnsi="Arial" w:cs="Arial"/>
          <w:color w:val="000000"/>
          <w:sz w:val="24"/>
          <w:szCs w:val="24"/>
          <w:lang w:val="es-ES"/>
        </w:rPr>
        <w:t xml:space="preserve"> mediante un aumento significativo de los programas de subsidio </w:t>
      </w:r>
      <w:r w:rsidR="00822428" w:rsidRPr="008A2F60">
        <w:rPr>
          <w:rFonts w:ascii="Arial" w:hAnsi="Arial" w:cs="Arial"/>
          <w:color w:val="000000"/>
          <w:sz w:val="24"/>
          <w:szCs w:val="24"/>
          <w:lang w:val="es-ES"/>
        </w:rPr>
        <w:t xml:space="preserve">estatales </w:t>
      </w:r>
      <w:r w:rsidRPr="008A2F60">
        <w:rPr>
          <w:rFonts w:ascii="Arial" w:hAnsi="Arial" w:cs="Arial"/>
          <w:color w:val="000000"/>
          <w:sz w:val="24"/>
          <w:szCs w:val="24"/>
          <w:lang w:val="es-ES"/>
        </w:rPr>
        <w:t xml:space="preserve">financiados </w:t>
      </w:r>
      <w:r w:rsidR="00192D78" w:rsidRPr="008A2F60">
        <w:rPr>
          <w:rFonts w:ascii="Arial" w:hAnsi="Arial" w:cs="Arial"/>
          <w:color w:val="000000"/>
          <w:sz w:val="24"/>
          <w:szCs w:val="24"/>
          <w:lang w:val="es-ES"/>
        </w:rPr>
        <w:t>mediante el uso de</w:t>
      </w:r>
      <w:r w:rsidRPr="008A2F60">
        <w:rPr>
          <w:rFonts w:ascii="Arial" w:hAnsi="Arial" w:cs="Arial"/>
          <w:color w:val="000000"/>
          <w:sz w:val="24"/>
          <w:szCs w:val="24"/>
          <w:lang w:val="es-ES"/>
        </w:rPr>
        <w:t xml:space="preserve"> parte </w:t>
      </w:r>
      <w:r w:rsidR="00192D78" w:rsidRPr="008A2F60">
        <w:rPr>
          <w:rFonts w:ascii="Arial" w:hAnsi="Arial" w:cs="Arial"/>
          <w:color w:val="000000"/>
          <w:sz w:val="24"/>
          <w:szCs w:val="24"/>
          <w:lang w:val="es-ES"/>
        </w:rPr>
        <w:t>de</w:t>
      </w:r>
      <w:r w:rsidRPr="008A2F60">
        <w:rPr>
          <w:rFonts w:ascii="Arial" w:hAnsi="Arial" w:cs="Arial"/>
          <w:color w:val="000000"/>
          <w:sz w:val="24"/>
          <w:szCs w:val="24"/>
          <w:lang w:val="es-ES"/>
        </w:rPr>
        <w:t xml:space="preserve"> la b</w:t>
      </w:r>
      <w:r w:rsidR="000E4AE2" w:rsidRPr="008A2F60">
        <w:rPr>
          <w:rFonts w:ascii="Arial" w:hAnsi="Arial" w:cs="Arial"/>
          <w:color w:val="000000"/>
          <w:sz w:val="24"/>
          <w:szCs w:val="24"/>
          <w:lang w:val="es-ES"/>
        </w:rPr>
        <w:t xml:space="preserve">ase de capital de la Autoridad.  </w:t>
      </w:r>
      <w:r w:rsidR="0001039F" w:rsidRPr="008A2F60">
        <w:rPr>
          <w:rFonts w:ascii="Arial" w:hAnsi="Arial" w:cs="Arial"/>
          <w:color w:val="000000"/>
          <w:sz w:val="24"/>
          <w:szCs w:val="24"/>
          <w:lang w:val="es-ES"/>
        </w:rPr>
        <w:t xml:space="preserve">Un factor asociado que contribuyó a </w:t>
      </w:r>
      <w:r w:rsidR="00A56CFC" w:rsidRPr="008A2F60">
        <w:rPr>
          <w:rFonts w:ascii="Arial" w:hAnsi="Arial" w:cs="Arial"/>
          <w:color w:val="000000"/>
          <w:sz w:val="24"/>
          <w:szCs w:val="24"/>
          <w:lang w:val="es-ES"/>
        </w:rPr>
        <w:t xml:space="preserve">dicha </w:t>
      </w:r>
      <w:r w:rsidR="0001039F" w:rsidRPr="008A2F60">
        <w:rPr>
          <w:rFonts w:ascii="Arial" w:hAnsi="Arial" w:cs="Arial"/>
          <w:color w:val="000000"/>
          <w:sz w:val="24"/>
          <w:szCs w:val="24"/>
          <w:lang w:val="es-ES"/>
        </w:rPr>
        <w:t xml:space="preserve">tendencia </w:t>
      </w:r>
      <w:r w:rsidR="00151F27" w:rsidRPr="008A2F60">
        <w:rPr>
          <w:rFonts w:ascii="Arial" w:hAnsi="Arial" w:cs="Arial"/>
          <w:color w:val="000000"/>
          <w:sz w:val="24"/>
          <w:szCs w:val="24"/>
          <w:lang w:val="es-ES"/>
        </w:rPr>
        <w:t xml:space="preserve">de pérdida </w:t>
      </w:r>
      <w:r w:rsidR="0001039F" w:rsidRPr="008A2F60">
        <w:rPr>
          <w:rFonts w:ascii="Arial" w:hAnsi="Arial" w:cs="Arial"/>
          <w:color w:val="000000"/>
          <w:sz w:val="24"/>
          <w:szCs w:val="24"/>
          <w:lang w:val="es-ES"/>
        </w:rPr>
        <w:t>fue la aceleración o terminación con pérdida de varias estructuras de arbitraje</w:t>
      </w:r>
      <w:r w:rsidR="00A22710" w:rsidRPr="008A2F60">
        <w:rPr>
          <w:rFonts w:ascii="Arial" w:hAnsi="Arial" w:cs="Arial"/>
          <w:color w:val="000000"/>
          <w:sz w:val="24"/>
          <w:szCs w:val="24"/>
          <w:lang w:val="es-ES"/>
        </w:rPr>
        <w:t xml:space="preserve"> y aportaciones significativas de capital a programas de subsidio</w:t>
      </w:r>
      <w:r w:rsidR="0001039F" w:rsidRPr="008A2F60">
        <w:rPr>
          <w:rFonts w:ascii="Arial" w:hAnsi="Arial" w:cs="Arial"/>
          <w:color w:val="000000"/>
          <w:sz w:val="24"/>
          <w:szCs w:val="24"/>
          <w:lang w:val="es-ES"/>
        </w:rPr>
        <w:t xml:space="preserve">. Las transacciones relacionadas con las estructuras de arbitraje se realizaron para </w:t>
      </w:r>
      <w:r w:rsidR="00AD13FC" w:rsidRPr="008A2F60">
        <w:rPr>
          <w:rFonts w:ascii="Arial" w:hAnsi="Arial" w:cs="Arial"/>
          <w:color w:val="000000"/>
          <w:sz w:val="24"/>
          <w:szCs w:val="24"/>
          <w:lang w:val="es-ES"/>
        </w:rPr>
        <w:t xml:space="preserve">obtener </w:t>
      </w:r>
      <w:r w:rsidR="0001039F" w:rsidRPr="008A2F60">
        <w:rPr>
          <w:rFonts w:ascii="Arial" w:hAnsi="Arial" w:cs="Arial"/>
          <w:color w:val="000000"/>
          <w:sz w:val="24"/>
          <w:szCs w:val="24"/>
          <w:lang w:val="es-ES"/>
        </w:rPr>
        <w:t xml:space="preserve">liquidez para </w:t>
      </w:r>
      <w:r w:rsidR="00AD13FC" w:rsidRPr="008A2F60">
        <w:rPr>
          <w:rFonts w:ascii="Arial" w:hAnsi="Arial" w:cs="Arial"/>
          <w:color w:val="000000"/>
          <w:sz w:val="24"/>
          <w:szCs w:val="24"/>
          <w:lang w:val="es-ES"/>
        </w:rPr>
        <w:t xml:space="preserve">cubrir necesidades de efectivo </w:t>
      </w:r>
      <w:r w:rsidR="00A22710" w:rsidRPr="008A2F60">
        <w:rPr>
          <w:rFonts w:ascii="Arial" w:hAnsi="Arial" w:cs="Arial"/>
          <w:color w:val="000000"/>
          <w:sz w:val="24"/>
          <w:szCs w:val="24"/>
          <w:lang w:val="es-ES"/>
        </w:rPr>
        <w:t xml:space="preserve">entre los años naturales 2010 y 2012 </w:t>
      </w:r>
      <w:r w:rsidR="00AD13FC" w:rsidRPr="008A2F60">
        <w:rPr>
          <w:rFonts w:ascii="Arial" w:hAnsi="Arial" w:cs="Arial"/>
          <w:color w:val="000000"/>
          <w:sz w:val="24"/>
          <w:szCs w:val="24"/>
          <w:lang w:val="es-ES"/>
        </w:rPr>
        <w:t xml:space="preserve">de </w:t>
      </w:r>
      <w:r w:rsidR="0001039F" w:rsidRPr="008A2F60">
        <w:rPr>
          <w:rFonts w:ascii="Arial" w:hAnsi="Arial" w:cs="Arial"/>
          <w:color w:val="000000"/>
          <w:sz w:val="24"/>
          <w:szCs w:val="24"/>
          <w:lang w:val="es-ES"/>
        </w:rPr>
        <w:t>los programas de subsidio</w:t>
      </w:r>
      <w:r w:rsidR="00AD13FC" w:rsidRPr="008A2F60">
        <w:rPr>
          <w:rFonts w:ascii="Arial" w:hAnsi="Arial" w:cs="Arial"/>
          <w:color w:val="000000"/>
          <w:sz w:val="24"/>
          <w:szCs w:val="24"/>
          <w:lang w:val="es-ES"/>
        </w:rPr>
        <w:t xml:space="preserve"> Mi Nuevo Hogar y Protegiendo Tu Hogar, entre otros</w:t>
      </w:r>
      <w:r w:rsidR="0001039F" w:rsidRPr="008A2F60">
        <w:rPr>
          <w:rFonts w:ascii="Arial" w:hAnsi="Arial" w:cs="Arial"/>
          <w:color w:val="000000"/>
          <w:sz w:val="24"/>
          <w:szCs w:val="24"/>
          <w:lang w:val="es-ES"/>
        </w:rPr>
        <w:t>.</w:t>
      </w:r>
      <w:r w:rsidR="00A22710" w:rsidRPr="008A2F60">
        <w:rPr>
          <w:rFonts w:ascii="Arial" w:hAnsi="Arial" w:cs="Arial"/>
          <w:color w:val="000000"/>
          <w:sz w:val="24"/>
          <w:szCs w:val="24"/>
          <w:lang w:val="es-ES"/>
        </w:rPr>
        <w:t xml:space="preserve"> </w:t>
      </w:r>
      <w:r w:rsidR="00E76527">
        <w:rPr>
          <w:rFonts w:ascii="Arial" w:hAnsi="Arial" w:cs="Arial"/>
          <w:color w:val="000000"/>
          <w:sz w:val="24"/>
          <w:szCs w:val="24"/>
          <w:lang w:val="es-ES"/>
        </w:rPr>
        <w:t xml:space="preserve">  </w:t>
      </w:r>
      <w:r w:rsidR="00E76527" w:rsidRPr="008A2F60">
        <w:rPr>
          <w:rFonts w:ascii="Arial" w:hAnsi="Arial" w:cs="Arial"/>
          <w:color w:val="000000"/>
          <w:sz w:val="24"/>
          <w:szCs w:val="24"/>
          <w:lang w:val="es-ES"/>
        </w:rPr>
        <w:t>Se estima que la posición neta de la Autoridad se había reducido por $24.7 millones, de aproximadamente $413.9 millones al 30 de junio de 2015 a $389.2 millones al 30 de junio de 2016.  La reducción en la posición neta de la Autoridad se explica por la aceleración de pago de deudas requeridas por el BGF mediante la venta de pagarés hipotecarios y que fue ordenada por las Juntas de Directores del BGF y la AFV.</w:t>
      </w:r>
      <w:r w:rsidR="00E76527">
        <w:rPr>
          <w:rFonts w:ascii="Arial" w:hAnsi="Arial" w:cs="Arial"/>
          <w:color w:val="000000"/>
          <w:sz w:val="24"/>
          <w:szCs w:val="24"/>
          <w:lang w:val="es-ES"/>
        </w:rPr>
        <w:t xml:space="preserve">  </w:t>
      </w:r>
    </w:p>
    <w:p w:rsidR="00E76527" w:rsidRDefault="00E76527" w:rsidP="008A2F60">
      <w:pPr>
        <w:spacing w:after="0" w:line="240" w:lineRule="auto"/>
        <w:jc w:val="both"/>
        <w:rPr>
          <w:rFonts w:ascii="Arial" w:hAnsi="Arial" w:cs="Arial"/>
          <w:color w:val="000000"/>
          <w:sz w:val="24"/>
          <w:szCs w:val="24"/>
          <w:lang w:val="es-ES"/>
        </w:rPr>
      </w:pPr>
    </w:p>
    <w:p w:rsidR="00BA5179" w:rsidRPr="008A2F60" w:rsidRDefault="00BA5179" w:rsidP="008A2F60">
      <w:pPr>
        <w:spacing w:after="0" w:line="240" w:lineRule="auto"/>
        <w:jc w:val="both"/>
        <w:rPr>
          <w:rFonts w:ascii="Arial" w:hAnsi="Arial" w:cs="Arial"/>
          <w:color w:val="000000"/>
          <w:sz w:val="24"/>
          <w:szCs w:val="24"/>
          <w:lang w:val="es-ES"/>
        </w:rPr>
      </w:pPr>
      <w:r w:rsidRPr="008A2F60">
        <w:rPr>
          <w:rFonts w:ascii="Arial" w:hAnsi="Arial" w:cs="Arial"/>
          <w:color w:val="000000"/>
          <w:sz w:val="24"/>
          <w:szCs w:val="24"/>
          <w:lang w:val="es-ES"/>
        </w:rPr>
        <w:t>Por consideraciones de contabilidad y de financiamiento dichas perdidas se han extendido en los años</w:t>
      </w:r>
      <w:r w:rsidR="00822428" w:rsidRPr="008A2F60">
        <w:rPr>
          <w:rFonts w:ascii="Arial" w:hAnsi="Arial" w:cs="Arial"/>
          <w:color w:val="000000"/>
          <w:sz w:val="24"/>
          <w:szCs w:val="24"/>
          <w:lang w:val="es-ES"/>
        </w:rPr>
        <w:t xml:space="preserve"> fiscales</w:t>
      </w:r>
      <w:r w:rsidRPr="008A2F60">
        <w:rPr>
          <w:rFonts w:ascii="Arial" w:hAnsi="Arial" w:cs="Arial"/>
          <w:color w:val="000000"/>
          <w:sz w:val="24"/>
          <w:szCs w:val="24"/>
          <w:lang w:val="es-ES"/>
        </w:rPr>
        <w:t xml:space="preserve"> subsiguientes aunque para dichos programas hayan cesado los subsidios. Por ejemplo, la anulación en Julio de 2011 de la estructura de arbitraje Mortgage Trust III ha representado perdidas contables por arbitraje negativo por hasta $7.6 millones </w:t>
      </w:r>
      <w:r w:rsidR="00822428" w:rsidRPr="008A2F60">
        <w:rPr>
          <w:rFonts w:ascii="Arial" w:hAnsi="Arial" w:cs="Arial"/>
          <w:color w:val="000000"/>
          <w:sz w:val="24"/>
          <w:szCs w:val="24"/>
          <w:lang w:val="es-ES"/>
        </w:rPr>
        <w:t xml:space="preserve">por año </w:t>
      </w:r>
      <w:r w:rsidRPr="008A2F60">
        <w:rPr>
          <w:rFonts w:ascii="Arial" w:hAnsi="Arial" w:cs="Arial"/>
          <w:color w:val="000000"/>
          <w:sz w:val="24"/>
          <w:szCs w:val="24"/>
          <w:lang w:val="es-ES"/>
        </w:rPr>
        <w:t xml:space="preserve">en los años fiscales subsiguientes.  </w:t>
      </w:r>
      <w:r w:rsidR="00006648" w:rsidRPr="008A2F60">
        <w:rPr>
          <w:rFonts w:ascii="Arial" w:hAnsi="Arial" w:cs="Arial"/>
          <w:color w:val="000000"/>
          <w:sz w:val="24"/>
          <w:szCs w:val="24"/>
          <w:lang w:val="es-ES"/>
        </w:rPr>
        <w:t>Además, d</w:t>
      </w:r>
      <w:r w:rsidRPr="008A2F60">
        <w:rPr>
          <w:rFonts w:ascii="Arial" w:hAnsi="Arial" w:cs="Arial"/>
          <w:color w:val="000000"/>
          <w:sz w:val="24"/>
          <w:szCs w:val="24"/>
          <w:lang w:val="es-ES"/>
        </w:rPr>
        <w:t xml:space="preserve">eficiencias en la legislación que autorizó un financiamiento por $116 millones con el BGF para el programa Mi Nuevo Hogar ocasionaron que la Autoridad incurriera en costos de financiamiento </w:t>
      </w:r>
      <w:r w:rsidR="00822428" w:rsidRPr="008A2F60">
        <w:rPr>
          <w:rFonts w:ascii="Arial" w:hAnsi="Arial" w:cs="Arial"/>
          <w:color w:val="000000"/>
          <w:sz w:val="24"/>
          <w:szCs w:val="24"/>
          <w:lang w:val="es-ES"/>
        </w:rPr>
        <w:t xml:space="preserve">por intereses </w:t>
      </w:r>
      <w:r w:rsidRPr="008A2F60">
        <w:rPr>
          <w:rFonts w:ascii="Arial" w:hAnsi="Arial" w:cs="Arial"/>
          <w:color w:val="000000"/>
          <w:sz w:val="24"/>
          <w:szCs w:val="24"/>
          <w:lang w:val="es-ES"/>
        </w:rPr>
        <w:t xml:space="preserve">por hasta aproximadamente </w:t>
      </w:r>
      <w:r w:rsidR="00822428" w:rsidRPr="008A2F60">
        <w:rPr>
          <w:rFonts w:ascii="Arial" w:hAnsi="Arial" w:cs="Arial"/>
          <w:color w:val="000000"/>
          <w:sz w:val="24"/>
          <w:szCs w:val="24"/>
          <w:lang w:val="es-ES"/>
        </w:rPr>
        <w:t>$6.3 millones por año en los años fiscales subsiguientes</w:t>
      </w:r>
      <w:r w:rsidR="00006648" w:rsidRPr="008A2F60">
        <w:rPr>
          <w:rFonts w:ascii="Arial" w:hAnsi="Arial" w:cs="Arial"/>
          <w:color w:val="000000"/>
          <w:sz w:val="24"/>
          <w:szCs w:val="24"/>
          <w:lang w:val="es-ES"/>
        </w:rPr>
        <w:t xml:space="preserve"> a la fecha en que cesaron los subsidios</w:t>
      </w:r>
      <w:r w:rsidR="00822428" w:rsidRPr="008A2F60">
        <w:rPr>
          <w:rFonts w:ascii="Arial" w:hAnsi="Arial" w:cs="Arial"/>
          <w:color w:val="000000"/>
          <w:sz w:val="24"/>
          <w:szCs w:val="24"/>
          <w:lang w:val="es-ES"/>
        </w:rPr>
        <w:t>.</w:t>
      </w:r>
    </w:p>
    <w:p w:rsidR="0001039F" w:rsidRPr="008A2F60" w:rsidRDefault="0001039F" w:rsidP="00C86092">
      <w:pPr>
        <w:spacing w:line="240" w:lineRule="auto"/>
        <w:jc w:val="both"/>
        <w:rPr>
          <w:rFonts w:ascii="Arial" w:hAnsi="Arial" w:cs="Arial"/>
          <w:color w:val="000000"/>
          <w:sz w:val="24"/>
          <w:szCs w:val="24"/>
          <w:lang w:val="es-ES"/>
        </w:rPr>
      </w:pPr>
      <w:r w:rsidRPr="008A2F60">
        <w:rPr>
          <w:rFonts w:ascii="Arial" w:hAnsi="Arial" w:cs="Arial"/>
          <w:color w:val="000000"/>
          <w:sz w:val="24"/>
          <w:szCs w:val="24"/>
          <w:lang w:val="es-ES"/>
        </w:rPr>
        <w:t xml:space="preserve">La condición económica del Gobierno Central y el debilitamiento de </w:t>
      </w:r>
      <w:r w:rsidR="00AD13FC" w:rsidRPr="008A2F60">
        <w:rPr>
          <w:rFonts w:ascii="Arial" w:hAnsi="Arial" w:cs="Arial"/>
          <w:color w:val="000000"/>
          <w:sz w:val="24"/>
          <w:szCs w:val="24"/>
          <w:lang w:val="es-ES"/>
        </w:rPr>
        <w:t xml:space="preserve">la </w:t>
      </w:r>
      <w:r w:rsidRPr="008A2F60">
        <w:rPr>
          <w:rFonts w:ascii="Arial" w:hAnsi="Arial" w:cs="Arial"/>
          <w:color w:val="000000"/>
          <w:sz w:val="24"/>
          <w:szCs w:val="24"/>
          <w:lang w:val="es-ES"/>
        </w:rPr>
        <w:t xml:space="preserve">estructura de capital de la Autoridad </w:t>
      </w:r>
      <w:r w:rsidR="000E4AE2" w:rsidRPr="008A2F60">
        <w:rPr>
          <w:rFonts w:ascii="Arial" w:hAnsi="Arial" w:cs="Arial"/>
          <w:color w:val="000000"/>
          <w:sz w:val="24"/>
          <w:szCs w:val="24"/>
          <w:lang w:val="es-ES"/>
        </w:rPr>
        <w:t xml:space="preserve">llevó </w:t>
      </w:r>
      <w:r w:rsidRPr="008A2F60">
        <w:rPr>
          <w:rFonts w:ascii="Arial" w:hAnsi="Arial" w:cs="Arial"/>
          <w:color w:val="000000"/>
          <w:sz w:val="24"/>
          <w:szCs w:val="24"/>
          <w:lang w:val="es-ES"/>
        </w:rPr>
        <w:t>desde mediados del año fiscal 2013 a cambios significativos en la política pública hacia una de austeridad, control de gastos y la contención de los programas de subsidio</w:t>
      </w:r>
      <w:r w:rsidR="00822428" w:rsidRPr="008A2F60">
        <w:rPr>
          <w:rFonts w:ascii="Arial" w:hAnsi="Arial" w:cs="Arial"/>
          <w:color w:val="000000"/>
          <w:sz w:val="24"/>
          <w:szCs w:val="24"/>
          <w:lang w:val="es-ES"/>
        </w:rPr>
        <w:t xml:space="preserve"> estatales y la maximización de los subsidios federales</w:t>
      </w:r>
      <w:r w:rsidR="00162A64" w:rsidRPr="008A2F60">
        <w:rPr>
          <w:rFonts w:ascii="Arial" w:hAnsi="Arial" w:cs="Arial"/>
          <w:color w:val="000000"/>
          <w:sz w:val="24"/>
          <w:szCs w:val="24"/>
          <w:lang w:val="es-ES"/>
        </w:rPr>
        <w:t xml:space="preserve"> y programas de financiamiento</w:t>
      </w:r>
      <w:r w:rsidRPr="008A2F60">
        <w:rPr>
          <w:rFonts w:ascii="Arial" w:hAnsi="Arial" w:cs="Arial"/>
          <w:color w:val="000000"/>
          <w:sz w:val="24"/>
          <w:szCs w:val="24"/>
          <w:lang w:val="es-ES"/>
        </w:rPr>
        <w:t xml:space="preserve">. </w:t>
      </w:r>
    </w:p>
    <w:p w:rsidR="00222845" w:rsidRPr="008A2F60" w:rsidRDefault="00162A64" w:rsidP="00C86092">
      <w:pPr>
        <w:spacing w:line="240" w:lineRule="auto"/>
        <w:contextualSpacing/>
        <w:jc w:val="both"/>
        <w:rPr>
          <w:rFonts w:ascii="Arial" w:hAnsi="Arial" w:cs="Arial"/>
          <w:color w:val="000000"/>
          <w:sz w:val="24"/>
          <w:szCs w:val="24"/>
          <w:lang w:val="es-PR"/>
        </w:rPr>
      </w:pPr>
      <w:r w:rsidRPr="008A2F60">
        <w:rPr>
          <w:rFonts w:ascii="Arial" w:hAnsi="Arial" w:cs="Arial"/>
          <w:color w:val="000000"/>
          <w:sz w:val="24"/>
          <w:szCs w:val="24"/>
          <w:lang w:val="es-ES"/>
        </w:rPr>
        <w:t>Desde el 2009 al 2012, se asignaron $30 millones en créditos del programa del servicio de rentas internas federal LIHTC, lo que equivale a $300 millones en 10 años y un total de 3,100 unidades de vivienda asequible para renta. Durante el período de 2013 a 2016, se adjudicaron $40 millones en créditos, lo que equivale a $400 millones en 10 años y un total de 2,899 nuevas unidades de vivienda asequible para renta. Una diferencia neta de $100 millones, lo que equivale un aumento de un 33%.</w:t>
      </w:r>
      <w:r w:rsidR="00222845" w:rsidRPr="008A2F60">
        <w:rPr>
          <w:rFonts w:ascii="Arial" w:hAnsi="Arial" w:cs="Arial"/>
          <w:color w:val="000000"/>
          <w:sz w:val="24"/>
          <w:szCs w:val="24"/>
          <w:lang w:val="es-ES"/>
        </w:rPr>
        <w:t xml:space="preserve"> </w:t>
      </w:r>
      <w:r w:rsidRPr="008A2F60">
        <w:rPr>
          <w:rFonts w:ascii="Arial" w:hAnsi="Arial" w:cs="Arial"/>
          <w:color w:val="000000"/>
          <w:sz w:val="24"/>
          <w:szCs w:val="24"/>
          <w:lang w:val="es-ES"/>
        </w:rPr>
        <w:t xml:space="preserve">Entre el 2009 al 2012, </w:t>
      </w:r>
      <w:r w:rsidR="00222845" w:rsidRPr="008A2F60">
        <w:rPr>
          <w:rFonts w:ascii="Arial" w:hAnsi="Arial" w:cs="Arial"/>
          <w:color w:val="000000"/>
          <w:sz w:val="24"/>
          <w:szCs w:val="24"/>
          <w:lang w:val="es-ES"/>
        </w:rPr>
        <w:t xml:space="preserve">el programa HOME  asignó </w:t>
      </w:r>
      <w:r w:rsidRPr="008A2F60">
        <w:rPr>
          <w:rFonts w:ascii="Arial" w:hAnsi="Arial" w:cs="Arial"/>
          <w:color w:val="000000"/>
          <w:sz w:val="24"/>
          <w:szCs w:val="24"/>
          <w:lang w:val="es-ES"/>
        </w:rPr>
        <w:t xml:space="preserve">$33 millones para proyectos de renta, $5.3 millones para proyectos de venta, $4.2 millones para asistencia al comprador y $3.8 millones para asistencia al dueño. Durante el período de 2013 a 2016, se asignaron </w:t>
      </w:r>
      <w:r w:rsidR="00222845" w:rsidRPr="008A2F60">
        <w:rPr>
          <w:rFonts w:ascii="Arial" w:hAnsi="Arial" w:cs="Arial"/>
          <w:color w:val="000000"/>
          <w:sz w:val="24"/>
          <w:szCs w:val="24"/>
          <w:lang w:val="es-ES"/>
        </w:rPr>
        <w:t xml:space="preserve">en promedio por año de </w:t>
      </w:r>
      <w:r w:rsidRPr="008A2F60">
        <w:rPr>
          <w:rFonts w:ascii="Arial" w:hAnsi="Arial" w:cs="Arial"/>
          <w:color w:val="000000"/>
          <w:sz w:val="24"/>
          <w:szCs w:val="24"/>
          <w:lang w:val="es-ES"/>
        </w:rPr>
        <w:t>$64 millones para proyectos de renta, $0 millones para proyectos de venta, $9.9 millones para asistencia al comprador, $2.4 millones para asistencia al dueño y $4.7 para asistencia al dueño a través de 12 municipios.</w:t>
      </w:r>
      <w:r w:rsidR="00222845" w:rsidRPr="008A2F60">
        <w:rPr>
          <w:rFonts w:ascii="Arial" w:hAnsi="Arial" w:cs="Arial"/>
          <w:color w:val="000000"/>
          <w:sz w:val="24"/>
          <w:szCs w:val="24"/>
          <w:lang w:val="es-ES"/>
        </w:rPr>
        <w:t xml:space="preserve"> </w:t>
      </w:r>
      <w:r w:rsidR="00222845" w:rsidRPr="008A2F60">
        <w:rPr>
          <w:rFonts w:ascii="Arial" w:hAnsi="Arial" w:cs="Arial"/>
          <w:color w:val="000000"/>
          <w:sz w:val="24"/>
          <w:szCs w:val="24"/>
          <w:lang w:val="es-PR"/>
        </w:rPr>
        <w:t>Desde el 2009 al 2012, la AFV contaba con 18,870 PBCA, 2,224 HCV y 263 SRO, para una asignación total promedio por año de $127 millones de dólares.  Durante el período de 2013 a 2016, la AFV contaba con 18,193 PBCA, 2,314 HCV y 263 SRO, para una asignación total promedio por año de $142 millones de dólares. Esto equivale en un aumento de un 12% de los fondos asignados para dicho programa.</w:t>
      </w:r>
    </w:p>
    <w:p w:rsidR="00222845" w:rsidRPr="008A2F60" w:rsidRDefault="00222845" w:rsidP="00C86092">
      <w:pPr>
        <w:spacing w:line="240" w:lineRule="auto"/>
        <w:contextualSpacing/>
        <w:jc w:val="both"/>
        <w:rPr>
          <w:rFonts w:ascii="Arial" w:hAnsi="Arial" w:cs="Arial"/>
          <w:color w:val="000000"/>
          <w:sz w:val="24"/>
          <w:szCs w:val="24"/>
          <w:lang w:val="es-PR"/>
        </w:rPr>
      </w:pPr>
    </w:p>
    <w:p w:rsidR="00C12418" w:rsidRPr="008A2F60" w:rsidRDefault="00222845" w:rsidP="00C86092">
      <w:pPr>
        <w:spacing w:line="240" w:lineRule="auto"/>
        <w:contextualSpacing/>
        <w:jc w:val="both"/>
        <w:rPr>
          <w:rFonts w:ascii="Arial" w:hAnsi="Arial" w:cs="Arial"/>
          <w:color w:val="000000"/>
          <w:sz w:val="24"/>
          <w:szCs w:val="24"/>
          <w:lang w:val="es-ES"/>
        </w:rPr>
      </w:pPr>
      <w:r w:rsidRPr="008A2F60">
        <w:rPr>
          <w:rFonts w:ascii="Arial" w:hAnsi="Arial" w:cs="Arial"/>
          <w:color w:val="000000"/>
          <w:sz w:val="24"/>
          <w:szCs w:val="24"/>
          <w:lang w:val="es-PR"/>
        </w:rPr>
        <w:t>Desde el 2009 al 2012, se cerraron $74 millones en préstamos interinos en construcción, de los cuales $8 millones resultaron en permanentes. Durante el período de 2013 a 2016, se cerraron $111 millones en préstamos interinos en construcción, de los cuales $14 millones resultaron en permanentes. Una diferencia neta de $37 millones, lo que equivale un aumento de un 50%.</w:t>
      </w:r>
      <w:r w:rsidR="008A2F60">
        <w:rPr>
          <w:rFonts w:ascii="Arial" w:hAnsi="Arial" w:cs="Arial"/>
          <w:color w:val="000000"/>
          <w:sz w:val="24"/>
          <w:szCs w:val="24"/>
          <w:lang w:val="es-PR"/>
        </w:rPr>
        <w:t xml:space="preserve">   </w:t>
      </w:r>
      <w:r w:rsidR="00D41664" w:rsidRPr="008A2F60">
        <w:rPr>
          <w:rFonts w:ascii="Arial" w:hAnsi="Arial" w:cs="Arial"/>
          <w:color w:val="000000"/>
          <w:sz w:val="24"/>
          <w:szCs w:val="24"/>
          <w:lang w:val="es-ES"/>
        </w:rPr>
        <w:t>Una parte significativa del capital de la Autoridad es restricto para cubrir obligaciones de subsidios a pagos de hipotecas bajo la Ley 124 de 1993 y satisfacer la reserva del programa de seguro hipotecario de la Ley 87</w:t>
      </w:r>
      <w:r w:rsidR="00A36CB6" w:rsidRPr="008A2F60">
        <w:rPr>
          <w:rFonts w:ascii="Arial" w:hAnsi="Arial" w:cs="Arial"/>
          <w:color w:val="000000"/>
          <w:sz w:val="24"/>
          <w:szCs w:val="24"/>
          <w:lang w:val="es-ES"/>
        </w:rPr>
        <w:t>.</w:t>
      </w:r>
      <w:r w:rsidR="00D41664" w:rsidRPr="008A2F60">
        <w:rPr>
          <w:rFonts w:ascii="Arial" w:hAnsi="Arial" w:cs="Arial"/>
          <w:color w:val="000000"/>
          <w:sz w:val="24"/>
          <w:szCs w:val="24"/>
          <w:lang w:val="es-ES"/>
        </w:rPr>
        <w:t xml:space="preserve"> El capital remanente resulta indispensable para mantener las actividades de financiamiento para desarrollo de unidades de vivienda de interés social y para el otorgamiento de préstamos permanentes unifamiliares y multifamiliares. </w:t>
      </w:r>
      <w:r w:rsidR="00C86092" w:rsidRPr="008A2F60">
        <w:rPr>
          <w:rFonts w:ascii="Arial" w:hAnsi="Arial" w:cs="Arial"/>
          <w:color w:val="000000"/>
          <w:sz w:val="24"/>
          <w:szCs w:val="24"/>
          <w:lang w:val="es-ES"/>
        </w:rPr>
        <w:t xml:space="preserve">Una parte significativa de los activos de la Autoridad están afectados por la aplicación de la Ley de Moratoria al BGF. </w:t>
      </w:r>
      <w:r w:rsidR="00C12418" w:rsidRPr="008A2F60">
        <w:rPr>
          <w:rFonts w:ascii="Arial" w:hAnsi="Arial" w:cs="Arial"/>
          <w:color w:val="000000"/>
          <w:sz w:val="24"/>
          <w:szCs w:val="24"/>
          <w:lang w:val="es-ES"/>
        </w:rPr>
        <w:t>Al 30 de junio de 2016 la Autoridad mantenía en el BGF efectivo depositado por aproximadamente $8.1 millones, certificados de depósito por aproximadamente $132 millones y contratos de inversión de estructuras de arbitraje de subsidio por aproximadamente $17 millones.  Además, PRCDF mantenía aproximadamente $27 millones en cuentas de efectivo de sus clientes.</w:t>
      </w:r>
      <w:r w:rsidR="008A2F60">
        <w:rPr>
          <w:rFonts w:ascii="Arial" w:hAnsi="Arial" w:cs="Arial"/>
          <w:color w:val="000000"/>
          <w:sz w:val="24"/>
          <w:szCs w:val="24"/>
          <w:lang w:val="es-ES"/>
        </w:rPr>
        <w:t xml:space="preserve">  </w:t>
      </w:r>
    </w:p>
    <w:p w:rsidR="00362D8A" w:rsidRPr="008A2F60" w:rsidRDefault="00362D8A" w:rsidP="00C86092">
      <w:pPr>
        <w:spacing w:line="240" w:lineRule="auto"/>
        <w:contextualSpacing/>
        <w:jc w:val="both"/>
        <w:rPr>
          <w:rFonts w:ascii="Arial" w:hAnsi="Arial" w:cs="Arial"/>
          <w:color w:val="000000"/>
          <w:sz w:val="24"/>
          <w:szCs w:val="24"/>
          <w:lang w:val="es-ES"/>
        </w:rPr>
      </w:pPr>
    </w:p>
    <w:p w:rsidR="00745DED" w:rsidRPr="008A2F60" w:rsidRDefault="002559FC" w:rsidP="00C86092">
      <w:pPr>
        <w:spacing w:line="240" w:lineRule="auto"/>
        <w:contextualSpacing/>
        <w:jc w:val="both"/>
        <w:rPr>
          <w:rFonts w:ascii="Arial" w:hAnsi="Arial" w:cs="Arial"/>
          <w:color w:val="000000"/>
          <w:sz w:val="24"/>
          <w:szCs w:val="24"/>
          <w:lang w:val="es-ES"/>
        </w:rPr>
      </w:pPr>
      <w:r w:rsidRPr="008A2F60">
        <w:rPr>
          <w:rFonts w:ascii="Arial" w:hAnsi="Arial" w:cs="Arial"/>
          <w:color w:val="000000"/>
          <w:sz w:val="24"/>
          <w:szCs w:val="24"/>
          <w:lang w:val="es-ES"/>
        </w:rPr>
        <w:t xml:space="preserve">Al </w:t>
      </w:r>
      <w:r w:rsidR="00151F27" w:rsidRPr="008A2F60">
        <w:rPr>
          <w:rFonts w:ascii="Arial" w:hAnsi="Arial" w:cs="Arial"/>
          <w:color w:val="000000"/>
          <w:sz w:val="24"/>
          <w:szCs w:val="24"/>
          <w:lang w:val="es-ES"/>
        </w:rPr>
        <w:t xml:space="preserve">30 </w:t>
      </w:r>
      <w:r w:rsidR="006658C2" w:rsidRPr="008A2F60">
        <w:rPr>
          <w:rFonts w:ascii="Arial" w:hAnsi="Arial" w:cs="Arial"/>
          <w:color w:val="000000"/>
          <w:sz w:val="24"/>
          <w:szCs w:val="24"/>
          <w:lang w:val="es-ES"/>
        </w:rPr>
        <w:t xml:space="preserve">de </w:t>
      </w:r>
      <w:r w:rsidR="00151F27" w:rsidRPr="008A2F60">
        <w:rPr>
          <w:rFonts w:ascii="Arial" w:hAnsi="Arial" w:cs="Arial"/>
          <w:color w:val="000000"/>
          <w:sz w:val="24"/>
          <w:szCs w:val="24"/>
          <w:lang w:val="es-ES"/>
        </w:rPr>
        <w:t xml:space="preserve">junio </w:t>
      </w:r>
      <w:r w:rsidR="006658C2" w:rsidRPr="008A2F60">
        <w:rPr>
          <w:rFonts w:ascii="Arial" w:hAnsi="Arial" w:cs="Arial"/>
          <w:color w:val="000000"/>
          <w:sz w:val="24"/>
          <w:szCs w:val="24"/>
          <w:lang w:val="es-ES"/>
        </w:rPr>
        <w:t>de 201</w:t>
      </w:r>
      <w:r w:rsidR="00B90502" w:rsidRPr="008A2F60">
        <w:rPr>
          <w:rFonts w:ascii="Arial" w:hAnsi="Arial" w:cs="Arial"/>
          <w:color w:val="000000"/>
          <w:sz w:val="24"/>
          <w:szCs w:val="24"/>
          <w:lang w:val="es-ES"/>
        </w:rPr>
        <w:t>6</w:t>
      </w:r>
      <w:r w:rsidR="006658C2" w:rsidRPr="008A2F60">
        <w:rPr>
          <w:rFonts w:ascii="Arial" w:hAnsi="Arial" w:cs="Arial"/>
          <w:color w:val="000000"/>
          <w:sz w:val="24"/>
          <w:szCs w:val="24"/>
          <w:lang w:val="es-ES"/>
        </w:rPr>
        <w:t xml:space="preserve"> </w:t>
      </w:r>
      <w:r w:rsidR="00B95D11" w:rsidRPr="008A2F60">
        <w:rPr>
          <w:rFonts w:ascii="Arial" w:hAnsi="Arial" w:cs="Arial"/>
          <w:color w:val="000000"/>
          <w:sz w:val="24"/>
          <w:szCs w:val="24"/>
          <w:lang w:val="es-ES"/>
        </w:rPr>
        <w:t xml:space="preserve">la </w:t>
      </w:r>
      <w:r w:rsidRPr="008A2F60">
        <w:rPr>
          <w:rFonts w:ascii="Arial" w:hAnsi="Arial" w:cs="Arial"/>
          <w:color w:val="000000"/>
          <w:sz w:val="24"/>
          <w:szCs w:val="24"/>
          <w:lang w:val="es-ES"/>
        </w:rPr>
        <w:t xml:space="preserve">Autoridad </w:t>
      </w:r>
      <w:r w:rsidR="0080723A" w:rsidRPr="008A2F60">
        <w:rPr>
          <w:rFonts w:ascii="Arial" w:hAnsi="Arial" w:cs="Arial"/>
          <w:color w:val="000000"/>
          <w:sz w:val="24"/>
          <w:szCs w:val="24"/>
          <w:lang w:val="es-ES"/>
        </w:rPr>
        <w:t xml:space="preserve">mantenía deudas </w:t>
      </w:r>
      <w:r w:rsidRPr="008A2F60">
        <w:rPr>
          <w:rFonts w:ascii="Arial" w:hAnsi="Arial" w:cs="Arial"/>
          <w:color w:val="000000"/>
          <w:sz w:val="24"/>
          <w:szCs w:val="24"/>
          <w:lang w:val="es-ES"/>
        </w:rPr>
        <w:t>con el B</w:t>
      </w:r>
      <w:r w:rsidR="004A7806">
        <w:rPr>
          <w:rFonts w:ascii="Arial" w:hAnsi="Arial" w:cs="Arial"/>
          <w:color w:val="000000"/>
          <w:sz w:val="24"/>
          <w:szCs w:val="24"/>
          <w:lang w:val="es-ES"/>
        </w:rPr>
        <w:t>GF</w:t>
      </w:r>
      <w:r w:rsidR="00CD5DB7" w:rsidRPr="008A2F60">
        <w:rPr>
          <w:rFonts w:ascii="Arial" w:hAnsi="Arial" w:cs="Arial"/>
          <w:color w:val="000000"/>
          <w:sz w:val="24"/>
          <w:szCs w:val="24"/>
          <w:lang w:val="es-ES"/>
        </w:rPr>
        <w:t xml:space="preserve"> </w:t>
      </w:r>
      <w:r w:rsidRPr="008A2F60">
        <w:rPr>
          <w:rFonts w:ascii="Arial" w:hAnsi="Arial" w:cs="Arial"/>
          <w:color w:val="000000"/>
          <w:sz w:val="24"/>
          <w:szCs w:val="24"/>
          <w:lang w:val="es-ES"/>
        </w:rPr>
        <w:t xml:space="preserve">por </w:t>
      </w:r>
      <w:r w:rsidR="006658C2" w:rsidRPr="008A2F60">
        <w:rPr>
          <w:rFonts w:ascii="Arial" w:hAnsi="Arial" w:cs="Arial"/>
          <w:color w:val="000000"/>
          <w:sz w:val="24"/>
          <w:szCs w:val="24"/>
          <w:lang w:val="es-ES"/>
        </w:rPr>
        <w:t>$</w:t>
      </w:r>
      <w:r w:rsidR="00F161F7" w:rsidRPr="008A2F60">
        <w:rPr>
          <w:rFonts w:ascii="Arial" w:hAnsi="Arial" w:cs="Arial"/>
          <w:color w:val="000000"/>
          <w:sz w:val="24"/>
          <w:szCs w:val="24"/>
          <w:lang w:val="es-ES"/>
        </w:rPr>
        <w:t>1</w:t>
      </w:r>
      <w:r w:rsidR="001E7D7F" w:rsidRPr="008A2F60">
        <w:rPr>
          <w:rFonts w:ascii="Arial" w:hAnsi="Arial" w:cs="Arial"/>
          <w:color w:val="000000"/>
          <w:sz w:val="24"/>
          <w:szCs w:val="24"/>
          <w:lang w:val="es-ES"/>
        </w:rPr>
        <w:t>17</w:t>
      </w:r>
      <w:r w:rsidR="0080723A" w:rsidRPr="008A2F60">
        <w:rPr>
          <w:rFonts w:ascii="Arial" w:hAnsi="Arial" w:cs="Arial"/>
          <w:color w:val="000000"/>
          <w:sz w:val="24"/>
          <w:szCs w:val="24"/>
          <w:lang w:val="es-ES"/>
        </w:rPr>
        <w:t xml:space="preserve"> </w:t>
      </w:r>
      <w:r w:rsidR="00022D38" w:rsidRPr="008A2F60">
        <w:rPr>
          <w:rFonts w:ascii="Arial" w:hAnsi="Arial" w:cs="Arial"/>
          <w:color w:val="000000"/>
          <w:sz w:val="24"/>
          <w:szCs w:val="24"/>
          <w:lang w:val="es-ES"/>
        </w:rPr>
        <w:t xml:space="preserve">millones </w:t>
      </w:r>
      <w:r w:rsidR="0080723A" w:rsidRPr="008A2F60">
        <w:rPr>
          <w:rFonts w:ascii="Arial" w:hAnsi="Arial" w:cs="Arial"/>
          <w:color w:val="000000"/>
          <w:sz w:val="24"/>
          <w:szCs w:val="24"/>
          <w:lang w:val="es-ES"/>
        </w:rPr>
        <w:t xml:space="preserve">asociadas a </w:t>
      </w:r>
      <w:r w:rsidR="0075266E" w:rsidRPr="008A2F60">
        <w:rPr>
          <w:rFonts w:ascii="Arial" w:hAnsi="Arial" w:cs="Arial"/>
          <w:color w:val="000000"/>
          <w:sz w:val="24"/>
          <w:szCs w:val="24"/>
          <w:lang w:val="es-ES"/>
        </w:rPr>
        <w:t>programas gubernamentales</w:t>
      </w:r>
      <w:r w:rsidR="006658C2" w:rsidRPr="008A2F60">
        <w:rPr>
          <w:rFonts w:ascii="Arial" w:hAnsi="Arial" w:cs="Arial"/>
          <w:color w:val="000000"/>
          <w:sz w:val="24"/>
          <w:szCs w:val="24"/>
          <w:lang w:val="es-ES"/>
        </w:rPr>
        <w:t xml:space="preserve">. </w:t>
      </w:r>
      <w:r w:rsidR="00616FA4" w:rsidRPr="008A2F60">
        <w:rPr>
          <w:rFonts w:ascii="Arial" w:hAnsi="Arial" w:cs="Arial"/>
          <w:color w:val="000000"/>
          <w:sz w:val="24"/>
          <w:szCs w:val="24"/>
          <w:lang w:val="es-ES"/>
        </w:rPr>
        <w:t xml:space="preserve"> </w:t>
      </w:r>
      <w:r w:rsidR="0075266E" w:rsidRPr="008A2F60">
        <w:rPr>
          <w:rFonts w:ascii="Arial" w:hAnsi="Arial" w:cs="Arial"/>
          <w:color w:val="000000"/>
          <w:sz w:val="24"/>
          <w:szCs w:val="24"/>
          <w:lang w:val="es-ES"/>
        </w:rPr>
        <w:t xml:space="preserve">De </w:t>
      </w:r>
      <w:r w:rsidR="00022D38" w:rsidRPr="008A2F60">
        <w:rPr>
          <w:rFonts w:ascii="Arial" w:hAnsi="Arial" w:cs="Arial"/>
          <w:color w:val="000000"/>
          <w:sz w:val="24"/>
          <w:szCs w:val="24"/>
          <w:lang w:val="es-ES"/>
        </w:rPr>
        <w:t xml:space="preserve">dicha </w:t>
      </w:r>
      <w:r w:rsidR="00F82852" w:rsidRPr="008A2F60">
        <w:rPr>
          <w:rFonts w:ascii="Arial" w:hAnsi="Arial" w:cs="Arial"/>
          <w:color w:val="000000"/>
          <w:sz w:val="24"/>
          <w:szCs w:val="24"/>
          <w:lang w:val="es-ES"/>
        </w:rPr>
        <w:t>deuda,</w:t>
      </w:r>
      <w:r w:rsidR="0075266E" w:rsidRPr="008A2F60">
        <w:rPr>
          <w:rFonts w:ascii="Arial" w:hAnsi="Arial" w:cs="Arial"/>
          <w:color w:val="000000"/>
          <w:sz w:val="24"/>
          <w:szCs w:val="24"/>
          <w:lang w:val="es-ES"/>
        </w:rPr>
        <w:t xml:space="preserve"> $</w:t>
      </w:r>
      <w:r w:rsidR="00B90502" w:rsidRPr="008A2F60">
        <w:rPr>
          <w:rFonts w:ascii="Arial" w:hAnsi="Arial" w:cs="Arial"/>
          <w:color w:val="000000"/>
          <w:sz w:val="24"/>
          <w:szCs w:val="24"/>
          <w:lang w:val="es-ES"/>
        </w:rPr>
        <w:t>26</w:t>
      </w:r>
      <w:r w:rsidR="00097B75" w:rsidRPr="008A2F60">
        <w:rPr>
          <w:rFonts w:ascii="Arial" w:hAnsi="Arial" w:cs="Arial"/>
          <w:color w:val="000000"/>
          <w:sz w:val="24"/>
          <w:szCs w:val="24"/>
          <w:lang w:val="es-ES"/>
        </w:rPr>
        <w:t>.4</w:t>
      </w:r>
      <w:r w:rsidR="0075266E" w:rsidRPr="008A2F60">
        <w:rPr>
          <w:rFonts w:ascii="Arial" w:hAnsi="Arial" w:cs="Arial"/>
          <w:color w:val="000000"/>
          <w:sz w:val="24"/>
          <w:szCs w:val="24"/>
          <w:lang w:val="es-ES"/>
        </w:rPr>
        <w:t xml:space="preserve"> millones corresponden al </w:t>
      </w:r>
      <w:r w:rsidR="00CD5DB7" w:rsidRPr="008A2F60">
        <w:rPr>
          <w:rFonts w:ascii="Arial" w:hAnsi="Arial" w:cs="Arial"/>
          <w:color w:val="000000"/>
          <w:sz w:val="24"/>
          <w:szCs w:val="24"/>
          <w:lang w:val="es-ES"/>
        </w:rPr>
        <w:t>p</w:t>
      </w:r>
      <w:r w:rsidR="0075266E" w:rsidRPr="008A2F60">
        <w:rPr>
          <w:rFonts w:ascii="Arial" w:hAnsi="Arial" w:cs="Arial"/>
          <w:color w:val="000000"/>
          <w:sz w:val="24"/>
          <w:szCs w:val="24"/>
          <w:lang w:val="es-ES"/>
        </w:rPr>
        <w:t xml:space="preserve">rograma Mi Nuevo Hogar y </w:t>
      </w:r>
      <w:r w:rsidR="00CD5DB7" w:rsidRPr="008A2F60">
        <w:rPr>
          <w:rFonts w:ascii="Arial" w:hAnsi="Arial" w:cs="Arial"/>
          <w:color w:val="000000"/>
          <w:sz w:val="24"/>
          <w:szCs w:val="24"/>
          <w:lang w:val="es-ES"/>
        </w:rPr>
        <w:t>$</w:t>
      </w:r>
      <w:r w:rsidR="00B90502" w:rsidRPr="008A2F60">
        <w:rPr>
          <w:rFonts w:ascii="Arial" w:hAnsi="Arial" w:cs="Arial"/>
          <w:color w:val="000000"/>
          <w:sz w:val="24"/>
          <w:szCs w:val="24"/>
          <w:lang w:val="es-ES"/>
        </w:rPr>
        <w:t>48</w:t>
      </w:r>
      <w:r w:rsidR="00097B75" w:rsidRPr="008A2F60">
        <w:rPr>
          <w:rFonts w:ascii="Arial" w:hAnsi="Arial" w:cs="Arial"/>
          <w:color w:val="000000"/>
          <w:sz w:val="24"/>
          <w:szCs w:val="24"/>
          <w:lang w:val="es-ES"/>
        </w:rPr>
        <w:t>.3</w:t>
      </w:r>
      <w:r w:rsidR="00CD5DB7" w:rsidRPr="008A2F60">
        <w:rPr>
          <w:rFonts w:ascii="Arial" w:hAnsi="Arial" w:cs="Arial"/>
          <w:color w:val="000000"/>
          <w:sz w:val="24"/>
          <w:szCs w:val="24"/>
          <w:lang w:val="es-ES"/>
        </w:rPr>
        <w:t xml:space="preserve"> millones al programa Nuevo Hogar Seguro.</w:t>
      </w:r>
      <w:r w:rsidR="0075266E" w:rsidRPr="008A2F60">
        <w:rPr>
          <w:rFonts w:ascii="Arial" w:hAnsi="Arial" w:cs="Arial"/>
          <w:color w:val="000000"/>
          <w:sz w:val="24"/>
          <w:szCs w:val="24"/>
          <w:lang w:val="es-ES"/>
        </w:rPr>
        <w:t xml:space="preserve"> </w:t>
      </w:r>
      <w:r w:rsidR="00F82852" w:rsidRPr="008A2F60">
        <w:rPr>
          <w:rFonts w:ascii="Arial" w:hAnsi="Arial" w:cs="Arial"/>
          <w:color w:val="000000"/>
          <w:sz w:val="24"/>
          <w:szCs w:val="24"/>
          <w:lang w:val="es-ES"/>
        </w:rPr>
        <w:t xml:space="preserve">Para el programa Mi Nuevo Hogar se estableció legislación que identifica como fuente de repago los depósitos no reclamados en las instituciones bancarias. </w:t>
      </w:r>
    </w:p>
    <w:p w:rsidR="00F82852" w:rsidRPr="008A2F60" w:rsidRDefault="00FC61E7" w:rsidP="00C86092">
      <w:pPr>
        <w:spacing w:line="240" w:lineRule="auto"/>
        <w:contextualSpacing/>
        <w:jc w:val="both"/>
        <w:rPr>
          <w:rFonts w:ascii="Arial" w:hAnsi="Arial" w:cs="Arial"/>
          <w:color w:val="000000"/>
          <w:sz w:val="24"/>
          <w:szCs w:val="24"/>
          <w:lang w:val="es-ES"/>
        </w:rPr>
      </w:pPr>
      <w:r w:rsidRPr="008A2F60">
        <w:rPr>
          <w:rFonts w:ascii="Arial" w:hAnsi="Arial" w:cs="Arial"/>
          <w:color w:val="000000"/>
          <w:sz w:val="24"/>
          <w:szCs w:val="24"/>
          <w:lang w:val="es-ES"/>
        </w:rPr>
        <w:t xml:space="preserve">La línea de crédito del Programa Nuevo Hogar Seguro no tiene una fuente de repago identificada, por lo que la Autoridad ha tenido que asumir el pago de principal e intereses por aproximadamente $2.7 millones anuales. </w:t>
      </w:r>
      <w:r w:rsidR="00517F21" w:rsidRPr="008A2F60">
        <w:rPr>
          <w:rFonts w:ascii="Arial" w:hAnsi="Arial" w:cs="Arial"/>
          <w:color w:val="000000"/>
          <w:sz w:val="24"/>
          <w:szCs w:val="24"/>
          <w:lang w:val="es-ES"/>
        </w:rPr>
        <w:t>Otras dos líneas con balance de $1</w:t>
      </w:r>
      <w:r w:rsidR="00EE77D8" w:rsidRPr="008A2F60">
        <w:rPr>
          <w:rFonts w:ascii="Arial" w:hAnsi="Arial" w:cs="Arial"/>
          <w:color w:val="000000"/>
          <w:sz w:val="24"/>
          <w:szCs w:val="24"/>
          <w:lang w:val="es-ES"/>
        </w:rPr>
        <w:t>5</w:t>
      </w:r>
      <w:r w:rsidR="00F161F7" w:rsidRPr="008A2F60">
        <w:rPr>
          <w:rFonts w:ascii="Arial" w:hAnsi="Arial" w:cs="Arial"/>
          <w:color w:val="000000"/>
          <w:sz w:val="24"/>
          <w:szCs w:val="24"/>
          <w:lang w:val="es-ES"/>
        </w:rPr>
        <w:t>.</w:t>
      </w:r>
      <w:r w:rsidR="00097B75" w:rsidRPr="008A2F60">
        <w:rPr>
          <w:rFonts w:ascii="Arial" w:hAnsi="Arial" w:cs="Arial"/>
          <w:color w:val="000000"/>
          <w:sz w:val="24"/>
          <w:szCs w:val="24"/>
          <w:lang w:val="es-ES"/>
        </w:rPr>
        <w:t>2</w:t>
      </w:r>
      <w:r w:rsidR="00517F21" w:rsidRPr="008A2F60">
        <w:rPr>
          <w:rFonts w:ascii="Arial" w:hAnsi="Arial" w:cs="Arial"/>
          <w:color w:val="000000"/>
          <w:sz w:val="24"/>
          <w:szCs w:val="24"/>
          <w:lang w:val="es-ES"/>
        </w:rPr>
        <w:t xml:space="preserve"> y $3</w:t>
      </w:r>
      <w:r w:rsidR="00EE77D8" w:rsidRPr="008A2F60">
        <w:rPr>
          <w:rFonts w:ascii="Arial" w:hAnsi="Arial" w:cs="Arial"/>
          <w:color w:val="000000"/>
          <w:sz w:val="24"/>
          <w:szCs w:val="24"/>
          <w:lang w:val="es-ES"/>
        </w:rPr>
        <w:t>.</w:t>
      </w:r>
      <w:r w:rsidR="001F3C24" w:rsidRPr="008A2F60">
        <w:rPr>
          <w:rFonts w:ascii="Arial" w:hAnsi="Arial" w:cs="Arial"/>
          <w:color w:val="000000"/>
          <w:sz w:val="24"/>
          <w:szCs w:val="24"/>
          <w:lang w:val="es-ES"/>
        </w:rPr>
        <w:t>4</w:t>
      </w:r>
      <w:r w:rsidR="00517F21" w:rsidRPr="008A2F60">
        <w:rPr>
          <w:rFonts w:ascii="Arial" w:hAnsi="Arial" w:cs="Arial"/>
          <w:color w:val="000000"/>
          <w:sz w:val="24"/>
          <w:szCs w:val="24"/>
          <w:lang w:val="es-ES"/>
        </w:rPr>
        <w:t xml:space="preserve"> millones se relacionan con subsidios otorgados bajo la Ley 124 de 1993 y cuya fuente de repago </w:t>
      </w:r>
      <w:r w:rsidR="00AD13FC" w:rsidRPr="008A2F60">
        <w:rPr>
          <w:rFonts w:ascii="Arial" w:hAnsi="Arial" w:cs="Arial"/>
          <w:color w:val="000000"/>
          <w:sz w:val="24"/>
          <w:szCs w:val="24"/>
          <w:lang w:val="es-ES"/>
        </w:rPr>
        <w:t xml:space="preserve">proviene del </w:t>
      </w:r>
      <w:r w:rsidR="00517F21" w:rsidRPr="008A2F60">
        <w:rPr>
          <w:rFonts w:ascii="Arial" w:hAnsi="Arial" w:cs="Arial"/>
          <w:color w:val="000000"/>
          <w:sz w:val="24"/>
          <w:szCs w:val="24"/>
          <w:lang w:val="es-ES"/>
        </w:rPr>
        <w:t>Fondo General. La Autoridad mantiene un contrato de retroventa de valores con el BGF por aproximadamente $</w:t>
      </w:r>
      <w:r w:rsidR="001F3C24" w:rsidRPr="008A2F60">
        <w:rPr>
          <w:rFonts w:ascii="Arial" w:hAnsi="Arial" w:cs="Arial"/>
          <w:color w:val="000000"/>
          <w:sz w:val="24"/>
          <w:szCs w:val="24"/>
          <w:lang w:val="es-ES"/>
        </w:rPr>
        <w:t>2</w:t>
      </w:r>
      <w:r w:rsidR="00F161F7" w:rsidRPr="008A2F60">
        <w:rPr>
          <w:rFonts w:ascii="Arial" w:hAnsi="Arial" w:cs="Arial"/>
          <w:color w:val="000000"/>
          <w:sz w:val="24"/>
          <w:szCs w:val="24"/>
          <w:lang w:val="es-ES"/>
        </w:rPr>
        <w:t>8.7</w:t>
      </w:r>
      <w:r w:rsidR="00517F21" w:rsidRPr="008A2F60">
        <w:rPr>
          <w:rFonts w:ascii="Arial" w:hAnsi="Arial" w:cs="Arial"/>
          <w:color w:val="000000"/>
          <w:sz w:val="24"/>
          <w:szCs w:val="24"/>
          <w:lang w:val="es-ES"/>
        </w:rPr>
        <w:t xml:space="preserve"> millones que surgió para la transferencia al Fondo General del sobrante de activos del Banco de la Vivienda en el año 2002.  Esta deuda se cubre con ingresos propios de las actividades </w:t>
      </w:r>
      <w:r w:rsidR="00B845F1" w:rsidRPr="008A2F60">
        <w:rPr>
          <w:rFonts w:ascii="Arial" w:hAnsi="Arial" w:cs="Arial"/>
          <w:color w:val="000000"/>
          <w:sz w:val="24"/>
          <w:szCs w:val="24"/>
          <w:lang w:val="es-ES"/>
        </w:rPr>
        <w:t xml:space="preserve">de los fondos </w:t>
      </w:r>
      <w:r w:rsidR="007024E7" w:rsidRPr="008A2F60">
        <w:rPr>
          <w:rFonts w:ascii="Arial" w:hAnsi="Arial" w:cs="Arial"/>
          <w:color w:val="000000"/>
          <w:sz w:val="24"/>
          <w:szCs w:val="24"/>
          <w:lang w:val="es-ES"/>
        </w:rPr>
        <w:t>empresariales</w:t>
      </w:r>
      <w:r w:rsidR="00B845F1" w:rsidRPr="008A2F60">
        <w:rPr>
          <w:rFonts w:ascii="Arial" w:hAnsi="Arial" w:cs="Arial"/>
          <w:color w:val="000000"/>
          <w:sz w:val="24"/>
          <w:szCs w:val="24"/>
          <w:lang w:val="es-ES"/>
        </w:rPr>
        <w:t xml:space="preserve"> </w:t>
      </w:r>
      <w:r w:rsidR="00517F21" w:rsidRPr="008A2F60">
        <w:rPr>
          <w:rFonts w:ascii="Arial" w:hAnsi="Arial" w:cs="Arial"/>
          <w:color w:val="000000"/>
          <w:sz w:val="24"/>
          <w:szCs w:val="24"/>
          <w:lang w:val="es-ES"/>
        </w:rPr>
        <w:t>de la Autoridad.</w:t>
      </w:r>
    </w:p>
    <w:p w:rsidR="0080723A" w:rsidRPr="008A2F60" w:rsidRDefault="0080723A" w:rsidP="00C86092">
      <w:pPr>
        <w:spacing w:line="240" w:lineRule="auto"/>
        <w:contextualSpacing/>
        <w:jc w:val="both"/>
        <w:rPr>
          <w:rFonts w:ascii="Arial" w:hAnsi="Arial" w:cs="Arial"/>
          <w:color w:val="000000"/>
          <w:sz w:val="24"/>
          <w:szCs w:val="24"/>
          <w:lang w:val="es-ES"/>
        </w:rPr>
      </w:pPr>
    </w:p>
    <w:p w:rsidR="00CE6915" w:rsidRDefault="00D4711D" w:rsidP="00C86092">
      <w:pPr>
        <w:spacing w:line="240" w:lineRule="auto"/>
        <w:contextualSpacing/>
        <w:jc w:val="both"/>
        <w:rPr>
          <w:rFonts w:ascii="Arial" w:eastAsia="Calibri" w:hAnsi="Arial" w:cs="Arial"/>
          <w:sz w:val="24"/>
          <w:szCs w:val="24"/>
          <w:lang w:val="es-PR"/>
        </w:rPr>
      </w:pPr>
      <w:r w:rsidRPr="008A2F60">
        <w:rPr>
          <w:rFonts w:ascii="Arial" w:hAnsi="Arial" w:cs="Arial"/>
          <w:color w:val="000000"/>
          <w:sz w:val="24"/>
          <w:szCs w:val="24"/>
          <w:lang w:val="es-ES"/>
        </w:rPr>
        <w:t xml:space="preserve">El </w:t>
      </w:r>
      <w:r w:rsidR="001F3C24" w:rsidRPr="008A2F60">
        <w:rPr>
          <w:rFonts w:ascii="Arial" w:hAnsi="Arial" w:cs="Arial"/>
          <w:color w:val="000000"/>
          <w:sz w:val="24"/>
          <w:szCs w:val="24"/>
          <w:lang w:val="es-ES"/>
        </w:rPr>
        <w:t>16</w:t>
      </w:r>
      <w:r w:rsidRPr="008A2F60">
        <w:rPr>
          <w:rFonts w:ascii="Arial" w:hAnsi="Arial" w:cs="Arial"/>
          <w:color w:val="000000"/>
          <w:sz w:val="24"/>
          <w:szCs w:val="24"/>
          <w:lang w:val="es-ES"/>
        </w:rPr>
        <w:t xml:space="preserve"> de </w:t>
      </w:r>
      <w:r w:rsidR="001F3C24" w:rsidRPr="008A2F60">
        <w:rPr>
          <w:rFonts w:ascii="Arial" w:hAnsi="Arial" w:cs="Arial"/>
          <w:color w:val="000000"/>
          <w:sz w:val="24"/>
          <w:szCs w:val="24"/>
          <w:lang w:val="es-ES"/>
        </w:rPr>
        <w:t xml:space="preserve">marzo </w:t>
      </w:r>
      <w:r w:rsidRPr="008A2F60">
        <w:rPr>
          <w:rFonts w:ascii="Arial" w:hAnsi="Arial" w:cs="Arial"/>
          <w:color w:val="000000"/>
          <w:sz w:val="24"/>
          <w:szCs w:val="24"/>
          <w:lang w:val="es-ES"/>
        </w:rPr>
        <w:t>de 201</w:t>
      </w:r>
      <w:r w:rsidR="001F3C24" w:rsidRPr="008A2F60">
        <w:rPr>
          <w:rFonts w:ascii="Arial" w:hAnsi="Arial" w:cs="Arial"/>
          <w:color w:val="000000"/>
          <w:sz w:val="24"/>
          <w:szCs w:val="24"/>
          <w:lang w:val="es-ES"/>
        </w:rPr>
        <w:t>6</w:t>
      </w:r>
      <w:r w:rsidRPr="008A2F60">
        <w:rPr>
          <w:rFonts w:ascii="Arial" w:hAnsi="Arial" w:cs="Arial"/>
          <w:color w:val="000000"/>
          <w:sz w:val="24"/>
          <w:szCs w:val="24"/>
          <w:lang w:val="es-ES"/>
        </w:rPr>
        <w:t xml:space="preserve"> la Junta de Directores de la Autoridad aprobó la petición presupuestaria para el año fiscal 201</w:t>
      </w:r>
      <w:r w:rsidR="001F3C24" w:rsidRPr="008A2F60">
        <w:rPr>
          <w:rFonts w:ascii="Arial" w:hAnsi="Arial" w:cs="Arial"/>
          <w:color w:val="000000"/>
          <w:sz w:val="24"/>
          <w:szCs w:val="24"/>
          <w:lang w:val="es-ES"/>
        </w:rPr>
        <w:t>7</w:t>
      </w:r>
      <w:r w:rsidRPr="008A2F60">
        <w:rPr>
          <w:rFonts w:ascii="Arial" w:hAnsi="Arial" w:cs="Arial"/>
          <w:color w:val="000000"/>
          <w:sz w:val="24"/>
          <w:szCs w:val="24"/>
          <w:lang w:val="es-ES"/>
        </w:rPr>
        <w:t xml:space="preserve">. </w:t>
      </w:r>
      <w:r w:rsidR="00F82852" w:rsidRPr="008A2F60">
        <w:rPr>
          <w:rFonts w:ascii="Arial" w:hAnsi="Arial" w:cs="Arial"/>
          <w:color w:val="000000"/>
          <w:sz w:val="24"/>
          <w:szCs w:val="24"/>
          <w:lang w:val="es-ES"/>
        </w:rPr>
        <w:t>Los recursos presupuestados para gastos administrativos permitirán fortalecer y dar continuidad a los programas existentes y el desarrollo de nuevos programas</w:t>
      </w:r>
      <w:r w:rsidR="00C847CE" w:rsidRPr="008A2F60">
        <w:rPr>
          <w:rFonts w:ascii="Arial" w:hAnsi="Arial" w:cs="Arial"/>
          <w:color w:val="000000"/>
          <w:sz w:val="24"/>
          <w:szCs w:val="24"/>
          <w:lang w:val="es-ES"/>
        </w:rPr>
        <w:t>.</w:t>
      </w:r>
      <w:r w:rsidR="008A2F60">
        <w:rPr>
          <w:rFonts w:ascii="Arial" w:hAnsi="Arial" w:cs="Arial"/>
          <w:color w:val="000000"/>
          <w:sz w:val="24"/>
          <w:szCs w:val="24"/>
          <w:lang w:val="es-ES"/>
        </w:rPr>
        <w:t xml:space="preserve">  </w:t>
      </w:r>
      <w:r w:rsidR="00F82852" w:rsidRPr="008A2F60">
        <w:rPr>
          <w:rFonts w:ascii="Arial" w:hAnsi="Arial" w:cs="Arial"/>
          <w:color w:val="000000"/>
          <w:sz w:val="24"/>
          <w:szCs w:val="24"/>
          <w:lang w:val="es-ES"/>
        </w:rPr>
        <w:t xml:space="preserve">Los ingresos que genera la Autoridad provienen principalmente de sus actividades de financiamiento hipotecario; esto tanto a nivel unifamiliar como multifamiliar.  Otros ingresos propios están relacionados con actividades de </w:t>
      </w:r>
      <w:r w:rsidR="000805B6" w:rsidRPr="008A2F60">
        <w:rPr>
          <w:rFonts w:ascii="Arial" w:hAnsi="Arial" w:cs="Arial"/>
          <w:color w:val="000000"/>
          <w:sz w:val="24"/>
          <w:szCs w:val="24"/>
          <w:lang w:val="es-ES"/>
        </w:rPr>
        <w:t xml:space="preserve">seguro </w:t>
      </w:r>
      <w:r w:rsidR="00F82852" w:rsidRPr="008A2F60">
        <w:rPr>
          <w:rFonts w:ascii="Arial" w:hAnsi="Arial" w:cs="Arial"/>
          <w:color w:val="000000"/>
          <w:sz w:val="24"/>
          <w:szCs w:val="24"/>
          <w:lang w:val="es-ES"/>
        </w:rPr>
        <w:t xml:space="preserve">de préstamos, administración de programas de subsidios federales, </w:t>
      </w:r>
      <w:r w:rsidR="00624867" w:rsidRPr="008A2F60">
        <w:rPr>
          <w:rFonts w:ascii="Arial" w:hAnsi="Arial" w:cs="Arial"/>
          <w:color w:val="000000"/>
          <w:sz w:val="24"/>
          <w:szCs w:val="24"/>
          <w:lang w:val="es-ES"/>
        </w:rPr>
        <w:t xml:space="preserve">asignación </w:t>
      </w:r>
      <w:r w:rsidR="00F82852" w:rsidRPr="008A2F60">
        <w:rPr>
          <w:rFonts w:ascii="Arial" w:hAnsi="Arial" w:cs="Arial"/>
          <w:color w:val="000000"/>
          <w:sz w:val="24"/>
          <w:szCs w:val="24"/>
          <w:lang w:val="es-ES"/>
        </w:rPr>
        <w:t xml:space="preserve">de créditos contributivos federales y </w:t>
      </w:r>
      <w:r w:rsidR="00624867" w:rsidRPr="008A2F60">
        <w:rPr>
          <w:rFonts w:ascii="Arial" w:hAnsi="Arial" w:cs="Arial"/>
          <w:color w:val="000000"/>
          <w:sz w:val="24"/>
          <w:szCs w:val="24"/>
          <w:lang w:val="es-ES"/>
        </w:rPr>
        <w:t xml:space="preserve">a la </w:t>
      </w:r>
      <w:r w:rsidR="00F82852" w:rsidRPr="008A2F60">
        <w:rPr>
          <w:rFonts w:ascii="Arial" w:hAnsi="Arial" w:cs="Arial"/>
          <w:color w:val="000000"/>
          <w:sz w:val="24"/>
          <w:szCs w:val="24"/>
          <w:lang w:val="es-ES"/>
        </w:rPr>
        <w:t>disposición de bienes inmuebles repose</w:t>
      </w:r>
      <w:r w:rsidR="007024E7" w:rsidRPr="008A2F60">
        <w:rPr>
          <w:rFonts w:ascii="Arial" w:hAnsi="Arial" w:cs="Arial"/>
          <w:color w:val="000000"/>
          <w:sz w:val="24"/>
          <w:szCs w:val="24"/>
          <w:lang w:val="es-ES"/>
        </w:rPr>
        <w:t>í</w:t>
      </w:r>
      <w:r w:rsidR="00F82852" w:rsidRPr="008A2F60">
        <w:rPr>
          <w:rFonts w:ascii="Arial" w:hAnsi="Arial" w:cs="Arial"/>
          <w:color w:val="000000"/>
          <w:sz w:val="24"/>
          <w:szCs w:val="24"/>
          <w:lang w:val="es-ES"/>
        </w:rPr>
        <w:t xml:space="preserve">dos. </w:t>
      </w:r>
      <w:r w:rsidR="001F3C24" w:rsidRPr="008A2F60">
        <w:rPr>
          <w:rFonts w:ascii="Arial" w:eastAsia="Calibri" w:hAnsi="Arial" w:cs="Arial"/>
          <w:sz w:val="24"/>
          <w:szCs w:val="24"/>
          <w:lang w:val="es-PR"/>
        </w:rPr>
        <w:t xml:space="preserve">(tanto multifamiliares como unifamiliares). </w:t>
      </w:r>
    </w:p>
    <w:p w:rsidR="008A2F60" w:rsidRPr="008A2F60" w:rsidRDefault="008A2F60" w:rsidP="00C86092">
      <w:pPr>
        <w:spacing w:line="240" w:lineRule="auto"/>
        <w:contextualSpacing/>
        <w:jc w:val="both"/>
        <w:rPr>
          <w:rFonts w:ascii="Arial" w:eastAsia="Calibri" w:hAnsi="Arial" w:cs="Arial"/>
          <w:sz w:val="24"/>
          <w:szCs w:val="24"/>
          <w:lang w:val="es-PR"/>
        </w:rPr>
      </w:pPr>
    </w:p>
    <w:p w:rsidR="002064D8" w:rsidRPr="008A2F60" w:rsidRDefault="001F3C24" w:rsidP="00C86092">
      <w:pPr>
        <w:spacing w:line="240" w:lineRule="auto"/>
        <w:jc w:val="both"/>
        <w:rPr>
          <w:rFonts w:ascii="Arial" w:eastAsia="Calibri" w:hAnsi="Arial" w:cs="Arial"/>
          <w:sz w:val="24"/>
          <w:szCs w:val="24"/>
          <w:lang w:val="es-PR"/>
        </w:rPr>
      </w:pPr>
      <w:r w:rsidRPr="008A2F60">
        <w:rPr>
          <w:rFonts w:ascii="Arial" w:eastAsia="Calibri" w:hAnsi="Arial" w:cs="Arial"/>
          <w:sz w:val="24"/>
          <w:szCs w:val="24"/>
          <w:lang w:val="es-PR"/>
        </w:rPr>
        <w:t>Durante el año fiscal 2016</w:t>
      </w:r>
      <w:r w:rsidR="00985AA5" w:rsidRPr="008A2F60">
        <w:rPr>
          <w:rFonts w:ascii="Arial" w:eastAsia="Calibri" w:hAnsi="Arial" w:cs="Arial"/>
          <w:sz w:val="24"/>
          <w:szCs w:val="24"/>
          <w:lang w:val="es-PR"/>
        </w:rPr>
        <w:t>,</w:t>
      </w:r>
      <w:r w:rsidRPr="008A2F60">
        <w:rPr>
          <w:rFonts w:ascii="Arial" w:eastAsia="Calibri" w:hAnsi="Arial" w:cs="Arial"/>
          <w:sz w:val="24"/>
          <w:szCs w:val="24"/>
          <w:lang w:val="es-PR"/>
        </w:rPr>
        <w:t xml:space="preserve"> la Autoridad dispuso de activos hipotecarios con valor amortizado a la fecha dispuesta en la venta por aproximadamente $109 millones, cuyo ingreso anual estimado era por aproximadamente $6.7 millones.  El producto descontado de la venta permitirá, una vez terminados los procesos de reconciliación de las transacciones, la aceleración parcial de la línea de crédito del programa gubernamental Mi Nuevo Hogar con el BGF por aproximadamente $89 millones.</w:t>
      </w:r>
      <w:r w:rsidR="008A2F60">
        <w:rPr>
          <w:rFonts w:ascii="Arial" w:eastAsia="Calibri" w:hAnsi="Arial" w:cs="Arial"/>
          <w:sz w:val="24"/>
          <w:szCs w:val="24"/>
          <w:lang w:val="es-PR"/>
        </w:rPr>
        <w:t xml:space="preserve">   </w:t>
      </w:r>
      <w:r w:rsidRPr="008A2F60">
        <w:rPr>
          <w:rFonts w:ascii="Arial" w:eastAsia="Calibri" w:hAnsi="Arial" w:cs="Arial"/>
          <w:sz w:val="24"/>
          <w:szCs w:val="24"/>
          <w:lang w:val="es-PR"/>
        </w:rPr>
        <w:t>Para el año fiscal 2017</w:t>
      </w:r>
      <w:r w:rsidR="00985AA5" w:rsidRPr="008A2F60">
        <w:rPr>
          <w:rFonts w:ascii="Arial" w:eastAsia="Calibri" w:hAnsi="Arial" w:cs="Arial"/>
          <w:sz w:val="24"/>
          <w:szCs w:val="24"/>
          <w:lang w:val="es-PR"/>
        </w:rPr>
        <w:t>,</w:t>
      </w:r>
      <w:r w:rsidRPr="008A2F60">
        <w:rPr>
          <w:rFonts w:ascii="Arial" w:eastAsia="Calibri" w:hAnsi="Arial" w:cs="Arial"/>
          <w:sz w:val="24"/>
          <w:szCs w:val="24"/>
          <w:lang w:val="es-PR"/>
        </w:rPr>
        <w:t xml:space="preserve"> se proyecta una pérdida en los ingresos de la Autoridad por dicha venta de activos. Conforme con lo contemplado por la Junta de Directores al evaluar la transacción y lo acordado con la </w:t>
      </w:r>
      <w:r w:rsidR="00985AA5" w:rsidRPr="008A2F60">
        <w:rPr>
          <w:rFonts w:ascii="Arial" w:eastAsia="Calibri" w:hAnsi="Arial" w:cs="Arial"/>
          <w:sz w:val="24"/>
          <w:szCs w:val="24"/>
          <w:lang w:val="es-PR"/>
        </w:rPr>
        <w:t>Oficina de Gerencia y Presupuesto (</w:t>
      </w:r>
      <w:r w:rsidRPr="008A2F60">
        <w:rPr>
          <w:rFonts w:ascii="Arial" w:eastAsia="Calibri" w:hAnsi="Arial" w:cs="Arial"/>
          <w:sz w:val="24"/>
          <w:szCs w:val="24"/>
          <w:lang w:val="es-PR"/>
        </w:rPr>
        <w:t>OGP</w:t>
      </w:r>
      <w:r w:rsidR="00985AA5" w:rsidRPr="008A2F60">
        <w:rPr>
          <w:rFonts w:ascii="Arial" w:eastAsia="Calibri" w:hAnsi="Arial" w:cs="Arial"/>
          <w:sz w:val="24"/>
          <w:szCs w:val="24"/>
          <w:lang w:val="es-PR"/>
        </w:rPr>
        <w:t>)</w:t>
      </w:r>
      <w:r w:rsidRPr="008A2F60">
        <w:rPr>
          <w:rFonts w:ascii="Arial" w:eastAsia="Calibri" w:hAnsi="Arial" w:cs="Arial"/>
          <w:sz w:val="24"/>
          <w:szCs w:val="24"/>
          <w:lang w:val="es-PR"/>
        </w:rPr>
        <w:t xml:space="preserve">,  la Autoridad </w:t>
      </w:r>
      <w:r w:rsidR="00097B75" w:rsidRPr="008A2F60">
        <w:rPr>
          <w:rFonts w:ascii="Arial" w:eastAsia="Calibri" w:hAnsi="Arial" w:cs="Arial"/>
          <w:sz w:val="24"/>
          <w:szCs w:val="24"/>
          <w:lang w:val="es-PR"/>
        </w:rPr>
        <w:t xml:space="preserve">realizó una </w:t>
      </w:r>
      <w:r w:rsidRPr="008A2F60">
        <w:rPr>
          <w:rFonts w:ascii="Arial" w:eastAsia="Calibri" w:hAnsi="Arial" w:cs="Arial"/>
          <w:sz w:val="24"/>
          <w:szCs w:val="24"/>
          <w:lang w:val="es-PR"/>
        </w:rPr>
        <w:t>petici</w:t>
      </w:r>
      <w:r w:rsidR="00097B75" w:rsidRPr="008A2F60">
        <w:rPr>
          <w:rFonts w:ascii="Arial" w:eastAsia="Calibri" w:hAnsi="Arial" w:cs="Arial"/>
          <w:sz w:val="24"/>
          <w:szCs w:val="24"/>
          <w:lang w:val="es-PR"/>
        </w:rPr>
        <w:t>ón</w:t>
      </w:r>
      <w:r w:rsidRPr="008A2F60">
        <w:rPr>
          <w:rFonts w:ascii="Arial" w:eastAsia="Calibri" w:hAnsi="Arial" w:cs="Arial"/>
          <w:sz w:val="24"/>
          <w:szCs w:val="24"/>
          <w:lang w:val="es-PR"/>
        </w:rPr>
        <w:t xml:space="preserve"> presupuestaria </w:t>
      </w:r>
      <w:r w:rsidR="000B1433" w:rsidRPr="008A2F60">
        <w:rPr>
          <w:rFonts w:ascii="Arial" w:eastAsia="Calibri" w:hAnsi="Arial" w:cs="Arial"/>
          <w:sz w:val="24"/>
          <w:szCs w:val="24"/>
          <w:lang w:val="es-PR"/>
        </w:rPr>
        <w:t xml:space="preserve">a la OGP </w:t>
      </w:r>
      <w:r w:rsidRPr="008A2F60">
        <w:rPr>
          <w:rFonts w:ascii="Arial" w:eastAsia="Calibri" w:hAnsi="Arial" w:cs="Arial"/>
          <w:sz w:val="24"/>
          <w:szCs w:val="24"/>
          <w:lang w:val="es-PR"/>
        </w:rPr>
        <w:t xml:space="preserve">para cubrir el efecto proyectado en $6 millones de la transacción sobre la capacidad de la Autoridad para cubrir sus gastos administrativos. </w:t>
      </w:r>
    </w:p>
    <w:p w:rsidR="001F3C24" w:rsidRPr="008A2F60" w:rsidRDefault="002064D8" w:rsidP="00C86092">
      <w:pPr>
        <w:spacing w:line="240" w:lineRule="auto"/>
        <w:jc w:val="both"/>
        <w:rPr>
          <w:rFonts w:ascii="Arial" w:eastAsia="Calibri" w:hAnsi="Arial" w:cs="Arial"/>
          <w:sz w:val="24"/>
          <w:szCs w:val="24"/>
          <w:lang w:val="es-PR"/>
        </w:rPr>
      </w:pPr>
      <w:r w:rsidRPr="008A2F60">
        <w:rPr>
          <w:rFonts w:ascii="Arial" w:eastAsia="Calibri" w:hAnsi="Arial" w:cs="Arial"/>
          <w:sz w:val="24"/>
          <w:szCs w:val="24"/>
          <w:lang w:val="es-PR"/>
        </w:rPr>
        <w:t xml:space="preserve">La asignación </w:t>
      </w:r>
      <w:r w:rsidR="00162A64" w:rsidRPr="008A2F60">
        <w:rPr>
          <w:rFonts w:ascii="Arial" w:eastAsia="Calibri" w:hAnsi="Arial" w:cs="Arial"/>
          <w:sz w:val="24"/>
          <w:szCs w:val="24"/>
          <w:lang w:val="es-PR"/>
        </w:rPr>
        <w:t xml:space="preserve">del presupuesto general </w:t>
      </w:r>
      <w:r w:rsidRPr="008A2F60">
        <w:rPr>
          <w:rFonts w:ascii="Arial" w:eastAsia="Calibri" w:hAnsi="Arial" w:cs="Arial"/>
          <w:sz w:val="24"/>
          <w:szCs w:val="24"/>
          <w:lang w:val="es-PR"/>
        </w:rPr>
        <w:t>se segrega en partidas de nómina por $4.15 millones y para el gasto de arrendamiento por $1.85 millones.  El gasto de arrendamiento se relaciona con el pago de facilidades al Departamento de la Vivienda que está vinculado a un contrato a largo plazo que garantiza el pago de deuda. Además de la asignación solicitada,  la OGP recomend</w:t>
      </w:r>
      <w:r w:rsidR="004A7806">
        <w:rPr>
          <w:rFonts w:ascii="Arial" w:eastAsia="Calibri" w:hAnsi="Arial" w:cs="Arial"/>
          <w:sz w:val="24"/>
          <w:szCs w:val="24"/>
          <w:lang w:val="es-PR"/>
        </w:rPr>
        <w:t>ó</w:t>
      </w:r>
      <w:r w:rsidRPr="008A2F60">
        <w:rPr>
          <w:rFonts w:ascii="Arial" w:eastAsia="Calibri" w:hAnsi="Arial" w:cs="Arial"/>
          <w:sz w:val="24"/>
          <w:szCs w:val="24"/>
          <w:lang w:val="es-PR"/>
        </w:rPr>
        <w:t xml:space="preserve"> la asignación de $5 millones para el pago de subsidios del programa Mi Casa Propia.</w:t>
      </w:r>
      <w:r w:rsidR="00097B75" w:rsidRPr="008A2F60">
        <w:rPr>
          <w:rFonts w:ascii="Arial" w:eastAsia="Calibri" w:hAnsi="Arial" w:cs="Arial"/>
          <w:sz w:val="24"/>
          <w:szCs w:val="24"/>
          <w:lang w:val="es-PR"/>
        </w:rPr>
        <w:t xml:space="preserve"> </w:t>
      </w:r>
      <w:r w:rsidR="00C12418" w:rsidRPr="008A2F60">
        <w:rPr>
          <w:rFonts w:ascii="Arial" w:eastAsia="Calibri" w:hAnsi="Arial" w:cs="Arial"/>
          <w:sz w:val="24"/>
          <w:szCs w:val="24"/>
          <w:lang w:val="es-PR"/>
        </w:rPr>
        <w:t>A pesar de múltiples gestiones realizadas, a mediados del mes de octubre</w:t>
      </w:r>
      <w:r w:rsidR="00985AA5" w:rsidRPr="008A2F60">
        <w:rPr>
          <w:rFonts w:ascii="Arial" w:eastAsia="Calibri" w:hAnsi="Arial" w:cs="Arial"/>
          <w:sz w:val="24"/>
          <w:szCs w:val="24"/>
          <w:lang w:val="es-PR"/>
        </w:rPr>
        <w:t>,</w:t>
      </w:r>
      <w:r w:rsidR="00C12418" w:rsidRPr="008A2F60">
        <w:rPr>
          <w:rFonts w:ascii="Arial" w:eastAsia="Calibri" w:hAnsi="Arial" w:cs="Arial"/>
          <w:sz w:val="24"/>
          <w:szCs w:val="24"/>
          <w:lang w:val="es-PR"/>
        </w:rPr>
        <w:t xml:space="preserve"> el Departamento de Hacienda no había realizado las transferencias de fondos por las asignaciones indicadas.</w:t>
      </w:r>
    </w:p>
    <w:p w:rsidR="00624867" w:rsidRPr="008A2F60" w:rsidRDefault="00412FC4" w:rsidP="00C86092">
      <w:pPr>
        <w:spacing w:line="240" w:lineRule="auto"/>
        <w:jc w:val="both"/>
        <w:rPr>
          <w:rFonts w:ascii="Arial" w:hAnsi="Arial" w:cs="Arial"/>
          <w:color w:val="000000"/>
          <w:sz w:val="24"/>
          <w:szCs w:val="24"/>
          <w:lang w:val="es-ES"/>
        </w:rPr>
      </w:pPr>
      <w:r w:rsidRPr="008A2F60">
        <w:rPr>
          <w:rFonts w:ascii="Arial" w:hAnsi="Arial" w:cs="Arial"/>
          <w:color w:val="000000"/>
          <w:sz w:val="24"/>
          <w:szCs w:val="24"/>
          <w:lang w:val="es-ES"/>
        </w:rPr>
        <w:t>El presupuesto aprobado por la Junta de Directores para el a</w:t>
      </w:r>
      <w:proofErr w:type="spellStart"/>
      <w:r w:rsidRPr="008A2F60">
        <w:rPr>
          <w:rFonts w:ascii="Arial" w:hAnsi="Arial" w:cs="Arial"/>
          <w:color w:val="000000"/>
          <w:sz w:val="24"/>
          <w:szCs w:val="24"/>
          <w:lang w:val="es-PR"/>
        </w:rPr>
        <w:t>ño</w:t>
      </w:r>
      <w:proofErr w:type="spellEnd"/>
      <w:r w:rsidR="00FC7D9D" w:rsidRPr="008A2F60">
        <w:rPr>
          <w:rFonts w:ascii="Arial" w:hAnsi="Arial" w:cs="Arial"/>
          <w:color w:val="000000"/>
          <w:sz w:val="24"/>
          <w:szCs w:val="24"/>
          <w:lang w:val="es-PR"/>
        </w:rPr>
        <w:t xml:space="preserve"> fiscal 201</w:t>
      </w:r>
      <w:r w:rsidR="002064D8" w:rsidRPr="008A2F60">
        <w:rPr>
          <w:rFonts w:ascii="Arial" w:hAnsi="Arial" w:cs="Arial"/>
          <w:color w:val="000000"/>
          <w:sz w:val="24"/>
          <w:szCs w:val="24"/>
          <w:lang w:val="es-PR"/>
        </w:rPr>
        <w:t>7</w:t>
      </w:r>
      <w:r w:rsidRPr="008A2F60">
        <w:rPr>
          <w:rFonts w:ascii="Arial" w:hAnsi="Arial" w:cs="Arial"/>
          <w:color w:val="000000"/>
          <w:sz w:val="24"/>
          <w:szCs w:val="24"/>
          <w:lang w:val="es-PR"/>
        </w:rPr>
        <w:t xml:space="preserve"> </w:t>
      </w:r>
      <w:r w:rsidR="00FC7D9D" w:rsidRPr="008A2F60">
        <w:rPr>
          <w:rFonts w:ascii="Arial" w:hAnsi="Arial" w:cs="Arial"/>
          <w:color w:val="000000"/>
          <w:sz w:val="24"/>
          <w:szCs w:val="24"/>
          <w:lang w:val="es-PR"/>
        </w:rPr>
        <w:t xml:space="preserve">contempla partidas para gastos administrativos ascendentes </w:t>
      </w:r>
      <w:r w:rsidR="00FC7D9D" w:rsidRPr="008A2F60">
        <w:rPr>
          <w:rFonts w:ascii="Arial" w:hAnsi="Arial" w:cs="Arial"/>
          <w:color w:val="000000"/>
          <w:sz w:val="24"/>
          <w:szCs w:val="24"/>
          <w:lang w:val="es-ES"/>
        </w:rPr>
        <w:t>a $22</w:t>
      </w:r>
      <w:r w:rsidR="006706D5" w:rsidRPr="008A2F60">
        <w:rPr>
          <w:rFonts w:ascii="Arial" w:hAnsi="Arial" w:cs="Arial"/>
          <w:color w:val="000000"/>
          <w:sz w:val="24"/>
          <w:szCs w:val="24"/>
          <w:lang w:val="es-ES"/>
        </w:rPr>
        <w:t>.</w:t>
      </w:r>
      <w:r w:rsidR="002064D8" w:rsidRPr="008A2F60">
        <w:rPr>
          <w:rFonts w:ascii="Arial" w:hAnsi="Arial" w:cs="Arial"/>
          <w:color w:val="000000"/>
          <w:sz w:val="24"/>
          <w:szCs w:val="24"/>
          <w:lang w:val="es-ES"/>
        </w:rPr>
        <w:t>1</w:t>
      </w:r>
      <w:r w:rsidR="006706D5" w:rsidRPr="008A2F60">
        <w:rPr>
          <w:rFonts w:ascii="Arial" w:hAnsi="Arial" w:cs="Arial"/>
          <w:color w:val="000000"/>
          <w:sz w:val="24"/>
          <w:szCs w:val="24"/>
          <w:lang w:val="es-ES"/>
        </w:rPr>
        <w:t xml:space="preserve"> millones</w:t>
      </w:r>
      <w:r w:rsidR="00FC7D9D" w:rsidRPr="008A2F60">
        <w:rPr>
          <w:rFonts w:ascii="Arial" w:hAnsi="Arial" w:cs="Arial"/>
          <w:color w:val="000000"/>
          <w:sz w:val="24"/>
          <w:szCs w:val="24"/>
          <w:lang w:val="es-ES"/>
        </w:rPr>
        <w:t xml:space="preserve">, lo que refleja una reducción </w:t>
      </w:r>
      <w:r w:rsidR="006706D5" w:rsidRPr="008A2F60">
        <w:rPr>
          <w:rFonts w:ascii="Arial" w:hAnsi="Arial" w:cs="Arial"/>
          <w:color w:val="000000"/>
          <w:sz w:val="24"/>
          <w:szCs w:val="24"/>
          <w:lang w:val="es-ES"/>
        </w:rPr>
        <w:t>1</w:t>
      </w:r>
      <w:r w:rsidR="00FC7D9D" w:rsidRPr="008A2F60">
        <w:rPr>
          <w:rFonts w:ascii="Arial" w:hAnsi="Arial" w:cs="Arial"/>
          <w:color w:val="000000"/>
          <w:sz w:val="24"/>
          <w:szCs w:val="24"/>
          <w:lang w:val="es-ES"/>
        </w:rPr>
        <w:t>% con respecto a la petición presupuestaria el año fiscal 201</w:t>
      </w:r>
      <w:r w:rsidR="002064D8" w:rsidRPr="008A2F60">
        <w:rPr>
          <w:rFonts w:ascii="Arial" w:hAnsi="Arial" w:cs="Arial"/>
          <w:color w:val="000000"/>
          <w:sz w:val="24"/>
          <w:szCs w:val="24"/>
          <w:lang w:val="es-ES"/>
        </w:rPr>
        <w:t>5</w:t>
      </w:r>
      <w:r w:rsidR="002361F4" w:rsidRPr="008A2F60">
        <w:rPr>
          <w:rFonts w:ascii="Arial" w:hAnsi="Arial" w:cs="Arial"/>
          <w:color w:val="000000"/>
          <w:sz w:val="24"/>
          <w:szCs w:val="24"/>
          <w:lang w:val="es-ES"/>
        </w:rPr>
        <w:t xml:space="preserve"> por $</w:t>
      </w:r>
      <w:r w:rsidR="006706D5" w:rsidRPr="008A2F60">
        <w:rPr>
          <w:rFonts w:ascii="Arial" w:hAnsi="Arial" w:cs="Arial"/>
          <w:color w:val="000000"/>
          <w:sz w:val="24"/>
          <w:szCs w:val="24"/>
          <w:lang w:val="es-ES"/>
        </w:rPr>
        <w:t>2</w:t>
      </w:r>
      <w:r w:rsidR="00CB51EB" w:rsidRPr="008A2F60">
        <w:rPr>
          <w:rFonts w:ascii="Arial" w:hAnsi="Arial" w:cs="Arial"/>
          <w:color w:val="000000"/>
          <w:sz w:val="24"/>
          <w:szCs w:val="24"/>
          <w:lang w:val="es-ES"/>
        </w:rPr>
        <w:t>2</w:t>
      </w:r>
      <w:r w:rsidR="006706D5" w:rsidRPr="008A2F60">
        <w:rPr>
          <w:rFonts w:ascii="Arial" w:hAnsi="Arial" w:cs="Arial"/>
          <w:color w:val="000000"/>
          <w:sz w:val="24"/>
          <w:szCs w:val="24"/>
          <w:lang w:val="es-ES"/>
        </w:rPr>
        <w:t>.</w:t>
      </w:r>
      <w:r w:rsidR="002064D8" w:rsidRPr="008A2F60">
        <w:rPr>
          <w:rFonts w:ascii="Arial" w:hAnsi="Arial" w:cs="Arial"/>
          <w:color w:val="000000"/>
          <w:sz w:val="24"/>
          <w:szCs w:val="24"/>
          <w:lang w:val="es-ES"/>
        </w:rPr>
        <w:t>4</w:t>
      </w:r>
      <w:r w:rsidR="006706D5" w:rsidRPr="008A2F60">
        <w:rPr>
          <w:rFonts w:ascii="Arial" w:hAnsi="Arial" w:cs="Arial"/>
          <w:color w:val="000000"/>
          <w:sz w:val="24"/>
          <w:szCs w:val="24"/>
          <w:lang w:val="es-ES"/>
        </w:rPr>
        <w:t xml:space="preserve"> millones</w:t>
      </w:r>
      <w:r w:rsidR="00FC7D9D" w:rsidRPr="008A2F60">
        <w:rPr>
          <w:rFonts w:ascii="Arial" w:hAnsi="Arial" w:cs="Arial"/>
          <w:color w:val="000000"/>
          <w:sz w:val="24"/>
          <w:szCs w:val="24"/>
          <w:lang w:val="es-ES"/>
        </w:rPr>
        <w:t>.  La petición presupuestaria para el año fiscal 201</w:t>
      </w:r>
      <w:r w:rsidR="00B845F1" w:rsidRPr="008A2F60">
        <w:rPr>
          <w:rFonts w:ascii="Arial" w:hAnsi="Arial" w:cs="Arial"/>
          <w:color w:val="000000"/>
          <w:sz w:val="24"/>
          <w:szCs w:val="24"/>
          <w:lang w:val="es-ES"/>
        </w:rPr>
        <w:t>7</w:t>
      </w:r>
      <w:r w:rsidR="00FC7D9D" w:rsidRPr="008A2F60">
        <w:rPr>
          <w:rFonts w:ascii="Arial" w:hAnsi="Arial" w:cs="Arial"/>
          <w:color w:val="000000"/>
          <w:sz w:val="24"/>
          <w:szCs w:val="24"/>
          <w:lang w:val="es-ES"/>
        </w:rPr>
        <w:t xml:space="preserve"> reflej</w:t>
      </w:r>
      <w:r w:rsidR="00FE123F" w:rsidRPr="008A2F60">
        <w:rPr>
          <w:rFonts w:ascii="Arial" w:hAnsi="Arial" w:cs="Arial"/>
          <w:color w:val="000000"/>
          <w:sz w:val="24"/>
          <w:szCs w:val="24"/>
          <w:lang w:val="es-ES"/>
        </w:rPr>
        <w:t>a</w:t>
      </w:r>
      <w:r w:rsidR="00FC7D9D" w:rsidRPr="008A2F60">
        <w:rPr>
          <w:rFonts w:ascii="Arial" w:hAnsi="Arial" w:cs="Arial"/>
          <w:color w:val="000000"/>
          <w:sz w:val="24"/>
          <w:szCs w:val="24"/>
          <w:lang w:val="es-ES"/>
        </w:rPr>
        <w:t xml:space="preserve"> una reducción </w:t>
      </w:r>
      <w:r w:rsidR="007174E4" w:rsidRPr="008A2F60">
        <w:rPr>
          <w:rFonts w:ascii="Arial" w:hAnsi="Arial" w:cs="Arial"/>
          <w:color w:val="000000"/>
          <w:sz w:val="24"/>
          <w:szCs w:val="24"/>
          <w:lang w:val="es-ES"/>
        </w:rPr>
        <w:t xml:space="preserve">acumulada </w:t>
      </w:r>
      <w:r w:rsidR="00097B75" w:rsidRPr="008A2F60">
        <w:rPr>
          <w:rFonts w:ascii="Arial" w:hAnsi="Arial" w:cs="Arial"/>
          <w:color w:val="000000"/>
          <w:sz w:val="24"/>
          <w:szCs w:val="24"/>
          <w:lang w:val="es-ES"/>
        </w:rPr>
        <w:t xml:space="preserve">desde el año fiscal 2013 </w:t>
      </w:r>
      <w:r w:rsidR="00FC7D9D" w:rsidRPr="008A2F60">
        <w:rPr>
          <w:rFonts w:ascii="Arial" w:hAnsi="Arial" w:cs="Arial"/>
          <w:color w:val="000000"/>
          <w:sz w:val="24"/>
          <w:szCs w:val="24"/>
          <w:lang w:val="es-ES"/>
        </w:rPr>
        <w:t xml:space="preserve">de </w:t>
      </w:r>
      <w:r w:rsidR="00FE123F" w:rsidRPr="008A2F60">
        <w:rPr>
          <w:rFonts w:ascii="Arial" w:hAnsi="Arial" w:cs="Arial"/>
          <w:color w:val="000000"/>
          <w:sz w:val="24"/>
          <w:szCs w:val="24"/>
          <w:lang w:val="es-ES"/>
        </w:rPr>
        <w:t>2</w:t>
      </w:r>
      <w:r w:rsidR="002064D8" w:rsidRPr="008A2F60">
        <w:rPr>
          <w:rFonts w:ascii="Arial" w:hAnsi="Arial" w:cs="Arial"/>
          <w:color w:val="000000"/>
          <w:sz w:val="24"/>
          <w:szCs w:val="24"/>
          <w:lang w:val="es-ES"/>
        </w:rPr>
        <w:t>7</w:t>
      </w:r>
      <w:r w:rsidR="00FC7D9D" w:rsidRPr="008A2F60">
        <w:rPr>
          <w:rFonts w:ascii="Arial" w:hAnsi="Arial" w:cs="Arial"/>
          <w:color w:val="000000"/>
          <w:sz w:val="24"/>
          <w:szCs w:val="24"/>
          <w:lang w:val="es-ES"/>
        </w:rPr>
        <w:t>% en los gastos administrativos</w:t>
      </w:r>
      <w:r w:rsidR="00F335F6" w:rsidRPr="008A2F60">
        <w:rPr>
          <w:rFonts w:ascii="Arial" w:hAnsi="Arial" w:cs="Arial"/>
          <w:color w:val="000000"/>
          <w:sz w:val="24"/>
          <w:szCs w:val="24"/>
          <w:lang w:val="es-ES"/>
        </w:rPr>
        <w:t xml:space="preserve">. </w:t>
      </w:r>
      <w:r w:rsidR="00006648" w:rsidRPr="008A2F60">
        <w:rPr>
          <w:rFonts w:ascii="Arial" w:eastAsia="Calibri" w:hAnsi="Arial" w:cs="Arial"/>
          <w:sz w:val="24"/>
          <w:szCs w:val="24"/>
          <w:lang w:val="es-PR"/>
        </w:rPr>
        <w:t xml:space="preserve">Tomando en consideración las asignaciones de fondos de la OGP, el balance consolidado de las operaciones empresariales se proyectan en punto cercano a equilibrio.  </w:t>
      </w:r>
    </w:p>
    <w:p w:rsidR="00C12418" w:rsidRPr="008A2F60" w:rsidRDefault="00B845F1" w:rsidP="00B845F1">
      <w:pPr>
        <w:spacing w:after="0" w:line="240" w:lineRule="auto"/>
        <w:jc w:val="both"/>
        <w:rPr>
          <w:rFonts w:ascii="Arial" w:eastAsia="Calibri" w:hAnsi="Arial" w:cs="Arial"/>
          <w:sz w:val="24"/>
          <w:szCs w:val="24"/>
          <w:lang w:val="es-PR"/>
        </w:rPr>
      </w:pPr>
      <w:r w:rsidRPr="008A2F60">
        <w:rPr>
          <w:rFonts w:ascii="Arial" w:hAnsi="Arial" w:cs="Arial"/>
          <w:color w:val="000000"/>
          <w:sz w:val="24"/>
          <w:szCs w:val="24"/>
          <w:lang w:val="es-ES"/>
        </w:rPr>
        <w:t xml:space="preserve">Los programas federales de Vivienda Subsidiada han tenido las más alta calificaciones en las evaluaciones de desempeño de HUD en los pasados dos años.  </w:t>
      </w:r>
      <w:r w:rsidR="00710E6B" w:rsidRPr="008A2F60">
        <w:rPr>
          <w:rFonts w:ascii="Arial" w:eastAsia="Calibri" w:hAnsi="Arial" w:cs="Arial"/>
          <w:sz w:val="24"/>
          <w:szCs w:val="24"/>
          <w:lang w:val="es-PR"/>
        </w:rPr>
        <w:t>Las asignaciones federales para los programas de vivienda subsidiada ascienden a $146.5 millones y para el programa HOME por $8.9 millones</w:t>
      </w:r>
      <w:r w:rsidR="00CA4D27" w:rsidRPr="008A2F60">
        <w:rPr>
          <w:rFonts w:ascii="Arial" w:eastAsia="Calibri" w:hAnsi="Arial" w:cs="Arial"/>
          <w:sz w:val="24"/>
          <w:szCs w:val="24"/>
          <w:lang w:val="es-PR"/>
        </w:rPr>
        <w:t>,  para un total de $155.4 millones</w:t>
      </w:r>
      <w:r w:rsidR="00710E6B" w:rsidRPr="008A2F60">
        <w:rPr>
          <w:rFonts w:ascii="Arial" w:eastAsia="Calibri" w:hAnsi="Arial" w:cs="Arial"/>
          <w:sz w:val="24"/>
          <w:szCs w:val="24"/>
          <w:lang w:val="es-PR"/>
        </w:rPr>
        <w:t xml:space="preserve">. </w:t>
      </w:r>
    </w:p>
    <w:p w:rsidR="00B845F1" w:rsidRPr="008A2F60" w:rsidRDefault="00B845F1" w:rsidP="00B845F1">
      <w:pPr>
        <w:spacing w:after="0" w:line="240" w:lineRule="auto"/>
        <w:jc w:val="both"/>
        <w:rPr>
          <w:rFonts w:ascii="Arial" w:eastAsia="Calibri" w:hAnsi="Arial" w:cs="Arial"/>
          <w:sz w:val="24"/>
          <w:szCs w:val="24"/>
          <w:lang w:val="es-PR"/>
        </w:rPr>
      </w:pPr>
    </w:p>
    <w:p w:rsidR="00F873A2" w:rsidRPr="008A2F60" w:rsidRDefault="00710E6B" w:rsidP="00C86092">
      <w:pPr>
        <w:spacing w:line="240" w:lineRule="auto"/>
        <w:jc w:val="both"/>
        <w:rPr>
          <w:rFonts w:ascii="Arial" w:eastAsia="Calibri" w:hAnsi="Arial" w:cs="Arial"/>
          <w:sz w:val="24"/>
          <w:szCs w:val="24"/>
          <w:lang w:val="es-PR"/>
        </w:rPr>
      </w:pPr>
      <w:r w:rsidRPr="008A2F60">
        <w:rPr>
          <w:rFonts w:ascii="Arial" w:eastAsia="Calibri" w:hAnsi="Arial" w:cs="Arial"/>
          <w:sz w:val="24"/>
          <w:szCs w:val="24"/>
          <w:lang w:val="es-PR"/>
        </w:rPr>
        <w:t xml:space="preserve">Además de los programas federales mencionados, la Autoridad maneja asignaciones de créditos contributivos federales por aproximadamente $80 millones y administra un fondo del programa New </w:t>
      </w:r>
      <w:proofErr w:type="spellStart"/>
      <w:r w:rsidRPr="008A2F60">
        <w:rPr>
          <w:rFonts w:ascii="Arial" w:eastAsia="Calibri" w:hAnsi="Arial" w:cs="Arial"/>
          <w:sz w:val="24"/>
          <w:szCs w:val="24"/>
          <w:lang w:val="es-PR"/>
        </w:rPr>
        <w:t>Market</w:t>
      </w:r>
      <w:proofErr w:type="spellEnd"/>
      <w:r w:rsidRPr="008A2F60">
        <w:rPr>
          <w:rFonts w:ascii="Arial" w:eastAsia="Calibri" w:hAnsi="Arial" w:cs="Arial"/>
          <w:sz w:val="24"/>
          <w:szCs w:val="24"/>
          <w:lang w:val="es-PR"/>
        </w:rPr>
        <w:t xml:space="preserve"> </w:t>
      </w:r>
      <w:proofErr w:type="spellStart"/>
      <w:r w:rsidRPr="008A2F60">
        <w:rPr>
          <w:rFonts w:ascii="Arial" w:eastAsia="Calibri" w:hAnsi="Arial" w:cs="Arial"/>
          <w:sz w:val="24"/>
          <w:szCs w:val="24"/>
          <w:lang w:val="es-PR"/>
        </w:rPr>
        <w:t>Tax</w:t>
      </w:r>
      <w:proofErr w:type="spellEnd"/>
      <w:r w:rsidRPr="008A2F60">
        <w:rPr>
          <w:rFonts w:ascii="Arial" w:eastAsia="Calibri" w:hAnsi="Arial" w:cs="Arial"/>
          <w:sz w:val="24"/>
          <w:szCs w:val="24"/>
          <w:lang w:val="es-PR"/>
        </w:rPr>
        <w:t xml:space="preserve"> Credit de $45 millones para el desarrollo de vivienda de interés social. Los costos de la administración de ambos programas son absorbidos por el presupuesto administrativo</w:t>
      </w:r>
      <w:r w:rsidR="00662CDC" w:rsidRPr="008A2F60">
        <w:rPr>
          <w:rFonts w:ascii="Arial" w:eastAsia="Calibri" w:hAnsi="Arial" w:cs="Arial"/>
          <w:sz w:val="24"/>
          <w:szCs w:val="24"/>
          <w:lang w:val="es-PR"/>
        </w:rPr>
        <w:t xml:space="preserve"> de los fondos </w:t>
      </w:r>
      <w:r w:rsidR="00B845F1" w:rsidRPr="008A2F60">
        <w:rPr>
          <w:rFonts w:ascii="Arial" w:eastAsia="Calibri" w:hAnsi="Arial" w:cs="Arial"/>
          <w:sz w:val="24"/>
          <w:szCs w:val="24"/>
          <w:lang w:val="es-PR"/>
        </w:rPr>
        <w:t>propietarios</w:t>
      </w:r>
      <w:r w:rsidRPr="008A2F60">
        <w:rPr>
          <w:rFonts w:ascii="Arial" w:eastAsia="Calibri" w:hAnsi="Arial" w:cs="Arial"/>
          <w:sz w:val="24"/>
          <w:szCs w:val="24"/>
          <w:lang w:val="es-PR"/>
        </w:rPr>
        <w:t>.</w:t>
      </w:r>
    </w:p>
    <w:p w:rsidR="00710E6B" w:rsidRPr="008A2F60" w:rsidRDefault="00C43C87" w:rsidP="00C86092">
      <w:pPr>
        <w:spacing w:line="240" w:lineRule="auto"/>
        <w:jc w:val="both"/>
        <w:rPr>
          <w:rFonts w:ascii="Arial" w:eastAsia="Calibri" w:hAnsi="Arial" w:cs="Arial"/>
          <w:sz w:val="24"/>
          <w:szCs w:val="24"/>
          <w:lang w:val="es-PR"/>
        </w:rPr>
      </w:pPr>
      <w:r w:rsidRPr="008A2F60">
        <w:rPr>
          <w:rFonts w:ascii="Arial" w:hAnsi="Arial" w:cs="Arial"/>
          <w:color w:val="000000"/>
          <w:sz w:val="24"/>
          <w:szCs w:val="24"/>
          <w:lang w:val="es-ES"/>
        </w:rPr>
        <w:t xml:space="preserve">En relación con programas federales de subsidio, en </w:t>
      </w:r>
      <w:r w:rsidR="00985AA5" w:rsidRPr="008A2F60">
        <w:rPr>
          <w:rFonts w:ascii="Arial" w:hAnsi="Arial" w:cs="Arial"/>
          <w:color w:val="000000"/>
          <w:sz w:val="24"/>
          <w:szCs w:val="24"/>
          <w:lang w:val="es-ES"/>
        </w:rPr>
        <w:t xml:space="preserve">noviembre de 2012 el programa HOME fue inhabilitado por el Departamento de la Vivienda Federal (HUD).  Esto debido </w:t>
      </w:r>
      <w:r w:rsidR="00976B6B" w:rsidRPr="008A2F60">
        <w:rPr>
          <w:rFonts w:ascii="Arial" w:hAnsi="Arial" w:cs="Arial"/>
          <w:color w:val="000000"/>
          <w:sz w:val="24"/>
          <w:szCs w:val="24"/>
          <w:lang w:val="es-ES"/>
        </w:rPr>
        <w:t xml:space="preserve">a que </w:t>
      </w:r>
      <w:r w:rsidR="00F873A2" w:rsidRPr="008A2F60">
        <w:rPr>
          <w:rFonts w:ascii="Arial" w:hAnsi="Arial" w:cs="Arial"/>
          <w:color w:val="000000"/>
          <w:sz w:val="24"/>
          <w:szCs w:val="24"/>
          <w:lang w:val="es-ES"/>
        </w:rPr>
        <w:t>la Oficina del Inspector General (OIG), había indicado mediante auditorias, hallazgos donde</w:t>
      </w:r>
      <w:r w:rsidR="00976B6B" w:rsidRPr="008A2F60">
        <w:rPr>
          <w:rFonts w:ascii="Arial" w:hAnsi="Arial" w:cs="Arial"/>
          <w:color w:val="000000"/>
          <w:sz w:val="24"/>
          <w:szCs w:val="24"/>
          <w:lang w:val="es-ES"/>
        </w:rPr>
        <w:t xml:space="preserve"> </w:t>
      </w:r>
      <w:r w:rsidR="00362D8A" w:rsidRPr="008A2F60">
        <w:rPr>
          <w:rFonts w:ascii="Arial" w:hAnsi="Arial" w:cs="Arial"/>
          <w:color w:val="000000"/>
          <w:sz w:val="24"/>
          <w:szCs w:val="24"/>
          <w:lang w:val="es-ES"/>
        </w:rPr>
        <w:t>habían</w:t>
      </w:r>
      <w:r w:rsidR="00F873A2" w:rsidRPr="008A2F60">
        <w:rPr>
          <w:rFonts w:ascii="Arial" w:hAnsi="Arial" w:cs="Arial"/>
          <w:color w:val="000000"/>
          <w:sz w:val="24"/>
          <w:szCs w:val="24"/>
          <w:lang w:val="es-ES"/>
        </w:rPr>
        <w:t xml:space="preserve"> actividades </w:t>
      </w:r>
      <w:r w:rsidR="00976B6B" w:rsidRPr="008A2F60">
        <w:rPr>
          <w:rFonts w:ascii="Arial" w:hAnsi="Arial" w:cs="Arial"/>
          <w:color w:val="000000"/>
          <w:sz w:val="24"/>
          <w:szCs w:val="24"/>
          <w:lang w:val="es-ES"/>
        </w:rPr>
        <w:t xml:space="preserve">que </w:t>
      </w:r>
      <w:r w:rsidR="00F873A2" w:rsidRPr="008A2F60">
        <w:rPr>
          <w:rFonts w:ascii="Arial" w:hAnsi="Arial" w:cs="Arial"/>
          <w:color w:val="000000"/>
          <w:sz w:val="24"/>
          <w:szCs w:val="24"/>
          <w:lang w:val="es-ES"/>
        </w:rPr>
        <w:t>eran inelegibles.  Las mismas no habían sido atendidas por el Departamento de la Vivienda</w:t>
      </w:r>
      <w:r w:rsidR="00976B6B" w:rsidRPr="008A2F60">
        <w:rPr>
          <w:rFonts w:ascii="Arial" w:hAnsi="Arial" w:cs="Arial"/>
          <w:color w:val="000000"/>
          <w:sz w:val="24"/>
          <w:szCs w:val="24"/>
          <w:lang w:val="es-ES"/>
        </w:rPr>
        <w:t>,</w:t>
      </w:r>
      <w:r w:rsidR="00F873A2" w:rsidRPr="008A2F60">
        <w:rPr>
          <w:rFonts w:ascii="Arial" w:hAnsi="Arial" w:cs="Arial"/>
          <w:color w:val="000000"/>
          <w:sz w:val="24"/>
          <w:szCs w:val="24"/>
          <w:lang w:val="es-ES"/>
        </w:rPr>
        <w:t xml:space="preserve"> quienes eran los administradores previos.  No obstante, luego de </w:t>
      </w:r>
      <w:r w:rsidR="00976B6B" w:rsidRPr="008A2F60">
        <w:rPr>
          <w:rFonts w:ascii="Arial" w:hAnsi="Arial" w:cs="Arial"/>
          <w:color w:val="000000"/>
          <w:sz w:val="24"/>
          <w:szCs w:val="24"/>
          <w:lang w:val="es-ES"/>
        </w:rPr>
        <w:t>un</w:t>
      </w:r>
      <w:r w:rsidR="00F873A2" w:rsidRPr="008A2F60">
        <w:rPr>
          <w:rFonts w:ascii="Arial" w:hAnsi="Arial" w:cs="Arial"/>
          <w:color w:val="000000"/>
          <w:sz w:val="24"/>
          <w:szCs w:val="24"/>
          <w:lang w:val="es-ES"/>
        </w:rPr>
        <w:t xml:space="preserve"> plan de trabajo coordinado </w:t>
      </w:r>
      <w:r w:rsidR="00976B6B" w:rsidRPr="008A2F60">
        <w:rPr>
          <w:rFonts w:ascii="Arial" w:hAnsi="Arial" w:cs="Arial"/>
          <w:color w:val="000000"/>
          <w:sz w:val="24"/>
          <w:szCs w:val="24"/>
          <w:lang w:val="es-ES"/>
        </w:rPr>
        <w:t>entre</w:t>
      </w:r>
      <w:r w:rsidR="00F873A2" w:rsidRPr="008A2F60">
        <w:rPr>
          <w:rFonts w:ascii="Arial" w:hAnsi="Arial" w:cs="Arial"/>
          <w:color w:val="000000"/>
          <w:sz w:val="24"/>
          <w:szCs w:val="24"/>
          <w:lang w:val="es-ES"/>
        </w:rPr>
        <w:t xml:space="preserve"> HUD (oficina local) y el grupo de trabajo de la Autoridad</w:t>
      </w:r>
      <w:r w:rsidR="00976B6B" w:rsidRPr="008A2F60">
        <w:rPr>
          <w:rFonts w:ascii="Arial" w:hAnsi="Arial" w:cs="Arial"/>
          <w:color w:val="000000"/>
          <w:sz w:val="24"/>
          <w:szCs w:val="24"/>
          <w:lang w:val="es-ES"/>
        </w:rPr>
        <w:t>,</w:t>
      </w:r>
      <w:r w:rsidR="00F873A2" w:rsidRPr="008A2F60">
        <w:rPr>
          <w:rFonts w:ascii="Arial" w:hAnsi="Arial" w:cs="Arial"/>
          <w:color w:val="000000"/>
          <w:sz w:val="24"/>
          <w:szCs w:val="24"/>
          <w:lang w:val="es-ES"/>
        </w:rPr>
        <w:t xml:space="preserve"> en el 2</w:t>
      </w:r>
      <w:r w:rsidRPr="008A2F60">
        <w:rPr>
          <w:rFonts w:ascii="Arial" w:hAnsi="Arial" w:cs="Arial"/>
          <w:color w:val="000000"/>
          <w:sz w:val="24"/>
          <w:szCs w:val="24"/>
          <w:lang w:val="es-ES"/>
        </w:rPr>
        <w:t>014</w:t>
      </w:r>
      <w:r w:rsidR="00976B6B" w:rsidRPr="008A2F60">
        <w:rPr>
          <w:rFonts w:ascii="Arial" w:hAnsi="Arial" w:cs="Arial"/>
          <w:color w:val="000000"/>
          <w:sz w:val="24"/>
          <w:szCs w:val="24"/>
          <w:lang w:val="es-ES"/>
        </w:rPr>
        <w:t>,</w:t>
      </w:r>
      <w:r w:rsidRPr="008A2F60">
        <w:rPr>
          <w:rFonts w:ascii="Arial" w:hAnsi="Arial" w:cs="Arial"/>
          <w:color w:val="000000"/>
          <w:sz w:val="24"/>
          <w:szCs w:val="24"/>
          <w:lang w:val="es-ES"/>
        </w:rPr>
        <w:t xml:space="preserve"> </w:t>
      </w:r>
      <w:r w:rsidR="00976B6B" w:rsidRPr="008A2F60">
        <w:rPr>
          <w:rFonts w:ascii="Arial" w:hAnsi="Arial" w:cs="Arial"/>
          <w:color w:val="000000"/>
          <w:sz w:val="24"/>
          <w:szCs w:val="24"/>
          <w:lang w:val="es-ES"/>
        </w:rPr>
        <w:t xml:space="preserve">se </w:t>
      </w:r>
      <w:r w:rsidRPr="008A2F60">
        <w:rPr>
          <w:rFonts w:ascii="Arial" w:hAnsi="Arial" w:cs="Arial"/>
          <w:color w:val="000000"/>
          <w:sz w:val="24"/>
          <w:szCs w:val="24"/>
          <w:lang w:val="es-ES"/>
        </w:rPr>
        <w:t>logró rehabilitar el acceso a los fondos del programa HOME</w:t>
      </w:r>
      <w:r w:rsidR="00976B6B" w:rsidRPr="008A2F60">
        <w:rPr>
          <w:rFonts w:ascii="Arial" w:hAnsi="Arial" w:cs="Arial"/>
          <w:color w:val="000000"/>
          <w:sz w:val="24"/>
          <w:szCs w:val="24"/>
          <w:lang w:val="es-ES"/>
        </w:rPr>
        <w:t>.  Esto mediante un acuerdo de devolver los fondos de las actividades inelegibles que no se pudieron subsanar</w:t>
      </w:r>
      <w:r w:rsidRPr="008A2F60">
        <w:rPr>
          <w:rFonts w:ascii="Arial" w:hAnsi="Arial" w:cs="Arial"/>
          <w:color w:val="000000"/>
          <w:sz w:val="24"/>
          <w:szCs w:val="24"/>
          <w:lang w:val="es-ES"/>
        </w:rPr>
        <w:t>,</w:t>
      </w:r>
      <w:r w:rsidR="00976B6B" w:rsidRPr="008A2F60">
        <w:rPr>
          <w:rFonts w:ascii="Arial" w:hAnsi="Arial" w:cs="Arial"/>
          <w:color w:val="000000"/>
          <w:sz w:val="24"/>
          <w:szCs w:val="24"/>
          <w:lang w:val="es-ES"/>
        </w:rPr>
        <w:t xml:space="preserve"> pero también</w:t>
      </w:r>
      <w:r w:rsidRPr="008A2F60">
        <w:rPr>
          <w:rFonts w:ascii="Arial" w:hAnsi="Arial" w:cs="Arial"/>
          <w:color w:val="000000"/>
          <w:sz w:val="24"/>
          <w:szCs w:val="24"/>
          <w:lang w:val="es-ES"/>
        </w:rPr>
        <w:t xml:space="preserve"> evidenciando el mejoramiento de los controles y </w:t>
      </w:r>
      <w:r w:rsidR="00976B6B" w:rsidRPr="008A2F60">
        <w:rPr>
          <w:rFonts w:ascii="Arial" w:hAnsi="Arial" w:cs="Arial"/>
          <w:color w:val="000000"/>
          <w:sz w:val="24"/>
          <w:szCs w:val="24"/>
          <w:lang w:val="es-ES"/>
        </w:rPr>
        <w:t xml:space="preserve">la operación del programa. </w:t>
      </w:r>
      <w:r w:rsidRPr="008A2F60">
        <w:rPr>
          <w:rFonts w:ascii="Arial" w:hAnsi="Arial" w:cs="Arial"/>
          <w:color w:val="000000"/>
          <w:sz w:val="24"/>
          <w:szCs w:val="24"/>
          <w:lang w:val="es-ES"/>
        </w:rPr>
        <w:t>El cumplimiento de pago asociado a dicho acuerdo se completó en octubre de 2015</w:t>
      </w:r>
      <w:r w:rsidR="00976B6B" w:rsidRPr="008A2F60">
        <w:rPr>
          <w:rFonts w:ascii="Arial" w:hAnsi="Arial" w:cs="Arial"/>
          <w:color w:val="000000"/>
          <w:sz w:val="24"/>
          <w:szCs w:val="24"/>
          <w:lang w:val="es-ES"/>
        </w:rPr>
        <w:t xml:space="preserve"> y esos fondos pudieron ser utilizados para nuevas actividad</w:t>
      </w:r>
      <w:r w:rsidR="00362D8A" w:rsidRPr="008A2F60">
        <w:rPr>
          <w:rFonts w:ascii="Arial" w:hAnsi="Arial" w:cs="Arial"/>
          <w:color w:val="000000"/>
          <w:sz w:val="24"/>
          <w:szCs w:val="24"/>
          <w:lang w:val="es-ES"/>
        </w:rPr>
        <w:t>es</w:t>
      </w:r>
      <w:r w:rsidR="00976B6B" w:rsidRPr="008A2F60">
        <w:rPr>
          <w:rFonts w:ascii="Arial" w:hAnsi="Arial" w:cs="Arial"/>
          <w:color w:val="000000"/>
          <w:sz w:val="24"/>
          <w:szCs w:val="24"/>
          <w:lang w:val="es-ES"/>
        </w:rPr>
        <w:t xml:space="preserve"> bajo el programa</w:t>
      </w:r>
      <w:r w:rsidRPr="008A2F60">
        <w:rPr>
          <w:rFonts w:ascii="Arial" w:hAnsi="Arial" w:cs="Arial"/>
          <w:color w:val="000000"/>
          <w:sz w:val="24"/>
          <w:szCs w:val="24"/>
          <w:lang w:val="es-ES"/>
        </w:rPr>
        <w:t>.</w:t>
      </w:r>
    </w:p>
    <w:p w:rsidR="007A346D" w:rsidRPr="008A2F60" w:rsidRDefault="006706D5" w:rsidP="00C86092">
      <w:pPr>
        <w:spacing w:after="0" w:line="240" w:lineRule="auto"/>
        <w:jc w:val="both"/>
        <w:rPr>
          <w:rFonts w:ascii="Arial" w:hAnsi="Arial" w:cs="Arial"/>
          <w:color w:val="000000"/>
          <w:sz w:val="24"/>
          <w:szCs w:val="24"/>
          <w:lang w:val="es-ES"/>
        </w:rPr>
      </w:pPr>
      <w:r w:rsidRPr="008A2F60">
        <w:rPr>
          <w:rFonts w:ascii="Arial" w:hAnsi="Arial" w:cs="Arial"/>
          <w:color w:val="000000"/>
          <w:sz w:val="24"/>
          <w:szCs w:val="24"/>
          <w:lang w:val="es-ES"/>
        </w:rPr>
        <w:t xml:space="preserve">Los subsidios de las estructuras de arbitraje de </w:t>
      </w:r>
      <w:r w:rsidR="00CF35A9" w:rsidRPr="008A2F60">
        <w:rPr>
          <w:rFonts w:ascii="Arial" w:hAnsi="Arial" w:cs="Arial"/>
          <w:color w:val="000000"/>
          <w:sz w:val="24"/>
          <w:szCs w:val="24"/>
          <w:lang w:val="es-ES"/>
        </w:rPr>
        <w:t xml:space="preserve">la </w:t>
      </w:r>
      <w:r w:rsidRPr="008A2F60">
        <w:rPr>
          <w:rFonts w:ascii="Arial" w:hAnsi="Arial" w:cs="Arial"/>
          <w:color w:val="000000"/>
          <w:sz w:val="24"/>
          <w:szCs w:val="24"/>
          <w:lang w:val="es-ES"/>
        </w:rPr>
        <w:t xml:space="preserve">Ley 124 </w:t>
      </w:r>
      <w:r w:rsidR="009F7EAE" w:rsidRPr="008A2F60">
        <w:rPr>
          <w:rFonts w:ascii="Arial" w:hAnsi="Arial" w:cs="Arial"/>
          <w:color w:val="000000"/>
          <w:sz w:val="24"/>
          <w:szCs w:val="24"/>
          <w:lang w:val="es-ES"/>
        </w:rPr>
        <w:t>se proyectan</w:t>
      </w:r>
      <w:r w:rsidRPr="008A2F60">
        <w:rPr>
          <w:rFonts w:ascii="Arial" w:hAnsi="Arial" w:cs="Arial"/>
          <w:color w:val="000000"/>
          <w:sz w:val="24"/>
          <w:szCs w:val="24"/>
          <w:lang w:val="es-ES"/>
        </w:rPr>
        <w:t xml:space="preserve"> </w:t>
      </w:r>
      <w:r w:rsidR="009F7EAE" w:rsidRPr="008A2F60">
        <w:rPr>
          <w:rFonts w:ascii="Arial" w:hAnsi="Arial" w:cs="Arial"/>
          <w:color w:val="000000"/>
          <w:sz w:val="24"/>
          <w:szCs w:val="24"/>
          <w:lang w:val="es-ES"/>
        </w:rPr>
        <w:t>en</w:t>
      </w:r>
      <w:r w:rsidRPr="008A2F60">
        <w:rPr>
          <w:rFonts w:ascii="Arial" w:hAnsi="Arial" w:cs="Arial"/>
          <w:color w:val="000000"/>
          <w:sz w:val="24"/>
          <w:szCs w:val="24"/>
          <w:lang w:val="es-ES"/>
        </w:rPr>
        <w:t xml:space="preserve"> aproximadamente $</w:t>
      </w:r>
      <w:r w:rsidR="00236D77" w:rsidRPr="008A2F60">
        <w:rPr>
          <w:rFonts w:ascii="Arial" w:hAnsi="Arial" w:cs="Arial"/>
          <w:color w:val="000000"/>
          <w:sz w:val="24"/>
          <w:szCs w:val="24"/>
          <w:lang w:val="es-ES"/>
        </w:rPr>
        <w:t xml:space="preserve">5.7 </w:t>
      </w:r>
      <w:r w:rsidRPr="008A2F60">
        <w:rPr>
          <w:rFonts w:ascii="Arial" w:hAnsi="Arial" w:cs="Arial"/>
          <w:color w:val="000000"/>
          <w:sz w:val="24"/>
          <w:szCs w:val="24"/>
          <w:lang w:val="es-ES"/>
        </w:rPr>
        <w:t xml:space="preserve">millones. </w:t>
      </w:r>
      <w:r w:rsidR="00C771CD" w:rsidRPr="008A2F60">
        <w:rPr>
          <w:rFonts w:ascii="Arial" w:hAnsi="Arial" w:cs="Arial"/>
          <w:color w:val="000000"/>
          <w:sz w:val="24"/>
          <w:szCs w:val="24"/>
          <w:lang w:val="es-ES"/>
        </w:rPr>
        <w:t xml:space="preserve">Cabe señalar que </w:t>
      </w:r>
      <w:r w:rsidR="00B845F1" w:rsidRPr="008A2F60">
        <w:rPr>
          <w:rFonts w:ascii="Arial" w:hAnsi="Arial" w:cs="Arial"/>
          <w:color w:val="000000"/>
          <w:sz w:val="24"/>
          <w:szCs w:val="24"/>
          <w:lang w:val="es-ES"/>
        </w:rPr>
        <w:t xml:space="preserve">dichos </w:t>
      </w:r>
      <w:r w:rsidR="00C771CD" w:rsidRPr="008A2F60">
        <w:rPr>
          <w:rFonts w:ascii="Arial" w:hAnsi="Arial" w:cs="Arial"/>
          <w:color w:val="000000"/>
          <w:sz w:val="24"/>
          <w:szCs w:val="24"/>
          <w:lang w:val="es-ES"/>
        </w:rPr>
        <w:t xml:space="preserve">subsidios bajo la Ley 124 son para el pago de una parte de los intereses mensuales de las hipotecas de las familias cualificadas. Estos fueron otorgados hace más de diez años y no hay nuevas designaciones de beneficiarios desde entonces. </w:t>
      </w:r>
    </w:p>
    <w:p w:rsidR="00B845F1" w:rsidRPr="008A2F60" w:rsidRDefault="00B845F1" w:rsidP="00C86092">
      <w:pPr>
        <w:spacing w:after="0" w:line="240" w:lineRule="auto"/>
        <w:jc w:val="both"/>
        <w:rPr>
          <w:rFonts w:ascii="Arial" w:hAnsi="Arial" w:cs="Arial"/>
          <w:color w:val="000000"/>
          <w:sz w:val="24"/>
          <w:szCs w:val="24"/>
          <w:lang w:val="es-ES"/>
        </w:rPr>
      </w:pPr>
    </w:p>
    <w:p w:rsidR="00FE5214" w:rsidRPr="008A2F60" w:rsidRDefault="00FE5214" w:rsidP="00C86092">
      <w:pPr>
        <w:spacing w:line="240" w:lineRule="auto"/>
        <w:jc w:val="both"/>
        <w:rPr>
          <w:rFonts w:ascii="Arial" w:hAnsi="Arial" w:cs="Arial"/>
          <w:sz w:val="24"/>
          <w:szCs w:val="24"/>
          <w:lang w:val="es-ES"/>
        </w:rPr>
      </w:pPr>
      <w:r w:rsidRPr="008A2F60">
        <w:rPr>
          <w:rFonts w:ascii="Arial" w:hAnsi="Arial" w:cs="Arial"/>
          <w:sz w:val="24"/>
          <w:szCs w:val="24"/>
          <w:lang w:val="es-ES"/>
        </w:rPr>
        <w:t xml:space="preserve">Como observará </w:t>
      </w:r>
      <w:r w:rsidR="00C86092" w:rsidRPr="008A2F60">
        <w:rPr>
          <w:rFonts w:ascii="Arial" w:hAnsi="Arial" w:cs="Arial"/>
          <w:sz w:val="24"/>
          <w:szCs w:val="24"/>
          <w:lang w:val="es-ES"/>
        </w:rPr>
        <w:t>el Comité</w:t>
      </w:r>
      <w:r w:rsidRPr="008A2F60">
        <w:rPr>
          <w:rFonts w:ascii="Arial" w:hAnsi="Arial" w:cs="Arial"/>
          <w:sz w:val="24"/>
          <w:szCs w:val="24"/>
          <w:lang w:val="es-ES"/>
        </w:rPr>
        <w:t xml:space="preserve">, la Autoridad administra </w:t>
      </w:r>
      <w:r w:rsidR="00022D38" w:rsidRPr="008A2F60">
        <w:rPr>
          <w:rFonts w:ascii="Arial" w:hAnsi="Arial" w:cs="Arial"/>
          <w:sz w:val="24"/>
          <w:szCs w:val="24"/>
          <w:lang w:val="es-ES"/>
        </w:rPr>
        <w:t xml:space="preserve">los recursos disponibles de forma prudente en </w:t>
      </w:r>
      <w:r w:rsidR="006D4B36" w:rsidRPr="008A2F60">
        <w:rPr>
          <w:rFonts w:ascii="Arial" w:hAnsi="Arial" w:cs="Arial"/>
          <w:sz w:val="24"/>
          <w:szCs w:val="24"/>
          <w:lang w:val="es-ES"/>
        </w:rPr>
        <w:t xml:space="preserve">programas </w:t>
      </w:r>
      <w:r w:rsidRPr="008A2F60">
        <w:rPr>
          <w:rFonts w:ascii="Arial" w:hAnsi="Arial" w:cs="Arial"/>
          <w:sz w:val="24"/>
          <w:szCs w:val="24"/>
          <w:lang w:val="es-ES"/>
        </w:rPr>
        <w:t>variad</w:t>
      </w:r>
      <w:r w:rsidR="006D4B36" w:rsidRPr="008A2F60">
        <w:rPr>
          <w:rFonts w:ascii="Arial" w:hAnsi="Arial" w:cs="Arial"/>
          <w:sz w:val="24"/>
          <w:szCs w:val="24"/>
          <w:lang w:val="es-ES"/>
        </w:rPr>
        <w:t xml:space="preserve">os </w:t>
      </w:r>
      <w:r w:rsidRPr="008A2F60">
        <w:rPr>
          <w:rFonts w:ascii="Arial" w:hAnsi="Arial" w:cs="Arial"/>
          <w:sz w:val="24"/>
          <w:szCs w:val="24"/>
          <w:lang w:val="es-ES"/>
        </w:rPr>
        <w:t>e importante</w:t>
      </w:r>
      <w:r w:rsidR="006D4B36" w:rsidRPr="008A2F60">
        <w:rPr>
          <w:rFonts w:ascii="Arial" w:hAnsi="Arial" w:cs="Arial"/>
          <w:sz w:val="24"/>
          <w:szCs w:val="24"/>
          <w:lang w:val="es-ES"/>
        </w:rPr>
        <w:t>s</w:t>
      </w:r>
      <w:r w:rsidRPr="008A2F60">
        <w:rPr>
          <w:rFonts w:ascii="Arial" w:hAnsi="Arial" w:cs="Arial"/>
          <w:sz w:val="24"/>
          <w:szCs w:val="24"/>
          <w:lang w:val="es-ES"/>
        </w:rPr>
        <w:t xml:space="preserve"> </w:t>
      </w:r>
      <w:r w:rsidR="006D4B36" w:rsidRPr="008A2F60">
        <w:rPr>
          <w:rFonts w:ascii="Arial" w:hAnsi="Arial" w:cs="Arial"/>
          <w:sz w:val="24"/>
          <w:szCs w:val="24"/>
          <w:lang w:val="es-ES"/>
        </w:rPr>
        <w:t xml:space="preserve">que promueven la disponibilidad de </w:t>
      </w:r>
      <w:r w:rsidRPr="008A2F60">
        <w:rPr>
          <w:rFonts w:ascii="Arial" w:hAnsi="Arial" w:cs="Arial"/>
          <w:sz w:val="24"/>
          <w:szCs w:val="24"/>
          <w:lang w:val="es-ES"/>
        </w:rPr>
        <w:t xml:space="preserve">vivienda de interés social, </w:t>
      </w:r>
      <w:r w:rsidR="00171D12" w:rsidRPr="008A2F60">
        <w:rPr>
          <w:rFonts w:ascii="Arial" w:hAnsi="Arial" w:cs="Arial"/>
          <w:sz w:val="24"/>
          <w:szCs w:val="24"/>
          <w:lang w:val="es-ES"/>
        </w:rPr>
        <w:t xml:space="preserve">esto </w:t>
      </w:r>
      <w:r w:rsidRPr="008A2F60">
        <w:rPr>
          <w:rFonts w:ascii="Arial" w:hAnsi="Arial" w:cs="Arial"/>
          <w:sz w:val="24"/>
          <w:szCs w:val="24"/>
          <w:lang w:val="es-ES"/>
        </w:rPr>
        <w:t xml:space="preserve">en colaboración estrecha con el sector privado.  </w:t>
      </w:r>
      <w:r w:rsidR="00976B6B" w:rsidRPr="008A2F60">
        <w:rPr>
          <w:rFonts w:ascii="Arial" w:hAnsi="Arial" w:cs="Arial"/>
          <w:sz w:val="24"/>
          <w:szCs w:val="24"/>
          <w:lang w:val="es-ES"/>
        </w:rPr>
        <w:t xml:space="preserve">Los asuntos medulares para cada una </w:t>
      </w:r>
      <w:r w:rsidR="00F13C07" w:rsidRPr="008A2F60">
        <w:rPr>
          <w:rFonts w:ascii="Arial" w:hAnsi="Arial" w:cs="Arial"/>
          <w:sz w:val="24"/>
          <w:szCs w:val="24"/>
          <w:lang w:val="es-ES"/>
        </w:rPr>
        <w:t>de las áreas</w:t>
      </w:r>
      <w:r w:rsidR="00976B6B" w:rsidRPr="008A2F60">
        <w:rPr>
          <w:rFonts w:ascii="Arial" w:hAnsi="Arial" w:cs="Arial"/>
          <w:sz w:val="24"/>
          <w:szCs w:val="24"/>
          <w:lang w:val="es-ES"/>
        </w:rPr>
        <w:t xml:space="preserve"> de la Autoridad</w:t>
      </w:r>
      <w:r w:rsidR="00F13C07" w:rsidRPr="008A2F60">
        <w:rPr>
          <w:rFonts w:ascii="Arial" w:hAnsi="Arial" w:cs="Arial"/>
          <w:sz w:val="24"/>
          <w:szCs w:val="24"/>
          <w:lang w:val="es-ES"/>
        </w:rPr>
        <w:t>, se detallan en el Informe de Transición, debidamente sometido.</w:t>
      </w:r>
    </w:p>
    <w:p w:rsidR="00FE5214" w:rsidRPr="008A2F60" w:rsidRDefault="00FE5214" w:rsidP="00C86092">
      <w:pPr>
        <w:spacing w:line="240" w:lineRule="auto"/>
        <w:jc w:val="both"/>
        <w:rPr>
          <w:rFonts w:ascii="Arial" w:hAnsi="Arial" w:cs="Arial"/>
          <w:sz w:val="24"/>
          <w:szCs w:val="24"/>
          <w:lang w:val="es-ES"/>
        </w:rPr>
      </w:pPr>
      <w:r w:rsidRPr="008A2F60">
        <w:rPr>
          <w:rFonts w:ascii="Arial" w:hAnsi="Arial" w:cs="Arial"/>
          <w:sz w:val="24"/>
          <w:szCs w:val="24"/>
          <w:lang w:val="es-ES"/>
        </w:rPr>
        <w:t xml:space="preserve">Estamos en la mejor disposición de contestar cualquier pregunta que los miembros de </w:t>
      </w:r>
      <w:r w:rsidR="00C86092" w:rsidRPr="008A2F60">
        <w:rPr>
          <w:rFonts w:ascii="Arial" w:hAnsi="Arial" w:cs="Arial"/>
          <w:sz w:val="24"/>
          <w:szCs w:val="24"/>
          <w:lang w:val="es-ES"/>
        </w:rPr>
        <w:t xml:space="preserve">la Comisión </w:t>
      </w:r>
      <w:r w:rsidRPr="008A2F60">
        <w:rPr>
          <w:rFonts w:ascii="Arial" w:hAnsi="Arial" w:cs="Arial"/>
          <w:sz w:val="24"/>
          <w:szCs w:val="24"/>
          <w:lang w:val="es-ES"/>
        </w:rPr>
        <w:t>tengan a bien realizar.</w:t>
      </w:r>
    </w:p>
    <w:p w:rsidR="002A6970" w:rsidRPr="008A2F60" w:rsidRDefault="00FE5214" w:rsidP="004F18D3">
      <w:pPr>
        <w:jc w:val="both"/>
        <w:rPr>
          <w:rFonts w:ascii="Arial" w:hAnsi="Arial" w:cs="Arial"/>
          <w:sz w:val="24"/>
          <w:szCs w:val="24"/>
          <w:lang w:val="es-ES"/>
        </w:rPr>
      </w:pPr>
      <w:r w:rsidRPr="008A2F60">
        <w:rPr>
          <w:rFonts w:ascii="Arial" w:hAnsi="Arial" w:cs="Arial"/>
          <w:sz w:val="24"/>
          <w:szCs w:val="24"/>
          <w:lang w:val="es-ES"/>
        </w:rPr>
        <w:t>Cordialmente,</w:t>
      </w:r>
    </w:p>
    <w:p w:rsidR="00AC52CE" w:rsidRPr="008A2F60" w:rsidRDefault="00AC52CE" w:rsidP="004F18D3">
      <w:pPr>
        <w:jc w:val="both"/>
        <w:rPr>
          <w:rFonts w:ascii="Arial" w:hAnsi="Arial" w:cs="Arial"/>
          <w:sz w:val="24"/>
          <w:szCs w:val="24"/>
          <w:lang w:val="es-ES"/>
        </w:rPr>
      </w:pPr>
    </w:p>
    <w:p w:rsidR="002A6970" w:rsidRPr="008A2F60" w:rsidRDefault="00265225" w:rsidP="00AC52CE">
      <w:pPr>
        <w:spacing w:after="0"/>
        <w:jc w:val="both"/>
        <w:rPr>
          <w:rFonts w:ascii="Arial" w:hAnsi="Arial" w:cs="Arial"/>
          <w:sz w:val="24"/>
          <w:szCs w:val="24"/>
          <w:lang w:val="es-ES"/>
        </w:rPr>
      </w:pPr>
      <w:r w:rsidRPr="008A2F60">
        <w:rPr>
          <w:rFonts w:ascii="Arial" w:hAnsi="Arial" w:cs="Arial"/>
          <w:sz w:val="24"/>
          <w:szCs w:val="24"/>
          <w:lang w:val="es-ES"/>
        </w:rPr>
        <w:t xml:space="preserve">José </w:t>
      </w:r>
      <w:r w:rsidR="0090743D" w:rsidRPr="008A2F60">
        <w:rPr>
          <w:rFonts w:ascii="Arial" w:hAnsi="Arial" w:cs="Arial"/>
          <w:sz w:val="24"/>
          <w:szCs w:val="24"/>
          <w:lang w:val="es-ES"/>
        </w:rPr>
        <w:t xml:space="preserve">A. </w:t>
      </w:r>
      <w:r w:rsidRPr="008A2F60">
        <w:rPr>
          <w:rFonts w:ascii="Arial" w:hAnsi="Arial" w:cs="Arial"/>
          <w:sz w:val="24"/>
          <w:szCs w:val="24"/>
          <w:lang w:val="es-ES"/>
        </w:rPr>
        <w:t>Sierra Morales</w:t>
      </w:r>
    </w:p>
    <w:p w:rsidR="00BB11A9" w:rsidRPr="008A2F60" w:rsidRDefault="00FE5214" w:rsidP="008A2F60">
      <w:pPr>
        <w:jc w:val="both"/>
        <w:rPr>
          <w:rFonts w:ascii="Times New Roman" w:hAnsi="Times New Roman"/>
          <w:color w:val="000000"/>
          <w:sz w:val="24"/>
          <w:szCs w:val="24"/>
          <w:lang w:val="es-PR"/>
        </w:rPr>
      </w:pPr>
      <w:r w:rsidRPr="008A2F60">
        <w:rPr>
          <w:rFonts w:ascii="Arial" w:hAnsi="Arial" w:cs="Arial"/>
          <w:sz w:val="24"/>
          <w:szCs w:val="24"/>
          <w:lang w:val="es-ES"/>
        </w:rPr>
        <w:t>Director Ejecutivo</w:t>
      </w:r>
    </w:p>
    <w:sectPr w:rsidR="00BB11A9" w:rsidRPr="008A2F60" w:rsidSect="008A2F60">
      <w:headerReference w:type="default" r:id="rId9"/>
      <w:footerReference w:type="default" r:id="rId10"/>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8C" w:rsidRDefault="00DB4C8C" w:rsidP="00B61883">
      <w:pPr>
        <w:spacing w:after="0" w:line="240" w:lineRule="auto"/>
      </w:pPr>
      <w:r>
        <w:separator/>
      </w:r>
    </w:p>
  </w:endnote>
  <w:endnote w:type="continuationSeparator" w:id="0">
    <w:p w:rsidR="00DB4C8C" w:rsidRDefault="00DB4C8C" w:rsidP="00B6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8F" w:rsidRDefault="00756E8F" w:rsidP="00756E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8C" w:rsidRDefault="00DB4C8C" w:rsidP="00B61883">
      <w:pPr>
        <w:spacing w:after="0" w:line="240" w:lineRule="auto"/>
      </w:pPr>
      <w:r>
        <w:separator/>
      </w:r>
    </w:p>
  </w:footnote>
  <w:footnote w:type="continuationSeparator" w:id="0">
    <w:p w:rsidR="00DB4C8C" w:rsidRDefault="00DB4C8C" w:rsidP="00B6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8F" w:rsidRPr="008A2F60" w:rsidRDefault="005D2D1A">
    <w:pPr>
      <w:pStyle w:val="Header"/>
      <w:rPr>
        <w:rFonts w:ascii="Arial" w:hAnsi="Arial" w:cs="Arial"/>
        <w:sz w:val="16"/>
        <w:szCs w:val="16"/>
        <w:lang w:val="en-US"/>
      </w:rPr>
    </w:pPr>
    <w:r w:rsidRPr="008A2F60">
      <w:rPr>
        <w:rFonts w:ascii="Arial" w:hAnsi="Arial" w:cs="Arial"/>
        <w:sz w:val="16"/>
        <w:szCs w:val="16"/>
        <w:lang w:val="en-US"/>
      </w:rPr>
      <w:t xml:space="preserve">Memorial </w:t>
    </w:r>
    <w:proofErr w:type="spellStart"/>
    <w:r w:rsidRPr="008A2F60">
      <w:rPr>
        <w:rFonts w:ascii="Arial" w:hAnsi="Arial" w:cs="Arial"/>
        <w:sz w:val="16"/>
        <w:szCs w:val="16"/>
        <w:lang w:val="en-US"/>
      </w:rPr>
      <w:t>Explicativo</w:t>
    </w:r>
    <w:proofErr w:type="spellEnd"/>
    <w:r w:rsidRPr="008A2F60">
      <w:rPr>
        <w:rFonts w:ascii="Arial" w:hAnsi="Arial" w:cs="Arial"/>
        <w:sz w:val="16"/>
        <w:szCs w:val="16"/>
        <w:lang w:val="en-US"/>
      </w:rPr>
      <w:t xml:space="preserve"> – </w:t>
    </w:r>
    <w:proofErr w:type="spellStart"/>
    <w:r w:rsidRPr="008A2F60">
      <w:rPr>
        <w:rFonts w:ascii="Arial" w:hAnsi="Arial" w:cs="Arial"/>
        <w:sz w:val="16"/>
        <w:szCs w:val="16"/>
        <w:lang w:val="en-US"/>
      </w:rPr>
      <w:t>Transición</w:t>
    </w:r>
    <w:proofErr w:type="spellEnd"/>
    <w:r w:rsidRPr="008A2F60">
      <w:rPr>
        <w:rFonts w:ascii="Arial" w:hAnsi="Arial" w:cs="Arial"/>
        <w:sz w:val="16"/>
        <w:szCs w:val="16"/>
        <w:lang w:val="en-US"/>
      </w:rPr>
      <w:t xml:space="preserve"> </w:t>
    </w:r>
    <w:proofErr w:type="spellStart"/>
    <w:r w:rsidRPr="008A2F60">
      <w:rPr>
        <w:rFonts w:ascii="Arial" w:hAnsi="Arial" w:cs="Arial"/>
        <w:sz w:val="16"/>
        <w:szCs w:val="16"/>
        <w:lang w:val="en-US"/>
      </w:rPr>
      <w:t>Gobierno</w:t>
    </w:r>
    <w:proofErr w:type="spellEnd"/>
    <w:r w:rsidRPr="008A2F60">
      <w:rPr>
        <w:rFonts w:ascii="Arial" w:hAnsi="Arial" w:cs="Arial"/>
        <w:sz w:val="16"/>
        <w:szCs w:val="16"/>
        <w:lang w:val="en-US"/>
      </w:rPr>
      <w:t xml:space="preserve"> </w:t>
    </w:r>
    <w:r w:rsidR="008A2F60">
      <w:rPr>
        <w:rFonts w:ascii="Arial" w:hAnsi="Arial" w:cs="Arial"/>
        <w:sz w:val="16"/>
        <w:szCs w:val="16"/>
        <w:lang w:val="en-US"/>
      </w:rPr>
      <w:t xml:space="preserve">del </w:t>
    </w:r>
    <w:proofErr w:type="spellStart"/>
    <w:proofErr w:type="gramStart"/>
    <w:r w:rsidRPr="008A2F60">
      <w:rPr>
        <w:rFonts w:ascii="Arial" w:hAnsi="Arial" w:cs="Arial"/>
        <w:sz w:val="16"/>
        <w:szCs w:val="16"/>
        <w:lang w:val="en-US"/>
      </w:rPr>
      <w:t>Año</w:t>
    </w:r>
    <w:proofErr w:type="spellEnd"/>
    <w:r w:rsidRPr="008A2F60">
      <w:rPr>
        <w:rFonts w:ascii="Arial" w:hAnsi="Arial" w:cs="Arial"/>
        <w:sz w:val="16"/>
        <w:szCs w:val="16"/>
        <w:lang w:val="en-US"/>
      </w:rPr>
      <w:t xml:space="preserve">  2016</w:t>
    </w:r>
    <w:proofErr w:type="gramEnd"/>
  </w:p>
  <w:p w:rsidR="005D2D1A" w:rsidRPr="008A2F60" w:rsidRDefault="005D2D1A">
    <w:pPr>
      <w:pStyle w:val="Header"/>
      <w:rPr>
        <w:rFonts w:ascii="Arial" w:hAnsi="Arial" w:cs="Arial"/>
        <w:sz w:val="16"/>
        <w:szCs w:val="16"/>
        <w:lang w:val="en-US"/>
      </w:rPr>
    </w:pPr>
    <w:r w:rsidRPr="008A2F60">
      <w:rPr>
        <w:rFonts w:ascii="Arial" w:hAnsi="Arial" w:cs="Arial"/>
        <w:sz w:val="16"/>
        <w:szCs w:val="16"/>
        <w:lang w:val="en-US"/>
      </w:rPr>
      <w:t xml:space="preserve">14 de </w:t>
    </w:r>
    <w:proofErr w:type="spellStart"/>
    <w:r w:rsidRPr="008A2F60">
      <w:rPr>
        <w:rFonts w:ascii="Arial" w:hAnsi="Arial" w:cs="Arial"/>
        <w:sz w:val="16"/>
        <w:szCs w:val="16"/>
        <w:lang w:val="en-US"/>
      </w:rPr>
      <w:t>octubre</w:t>
    </w:r>
    <w:proofErr w:type="spellEnd"/>
    <w:r w:rsidRPr="008A2F60">
      <w:rPr>
        <w:rFonts w:ascii="Arial" w:hAnsi="Arial" w:cs="Arial"/>
        <w:sz w:val="16"/>
        <w:szCs w:val="16"/>
        <w:lang w:val="en-US"/>
      </w:rPr>
      <w:t xml:space="preserve"> de 2016</w:t>
    </w:r>
  </w:p>
  <w:p w:rsidR="005D2D1A" w:rsidRDefault="005D2D1A">
    <w:pPr>
      <w:pStyle w:val="Header"/>
      <w:rPr>
        <w:rFonts w:ascii="Arial" w:hAnsi="Arial" w:cs="Arial"/>
        <w:noProof/>
        <w:sz w:val="16"/>
        <w:szCs w:val="16"/>
        <w:lang w:val="en-US"/>
      </w:rPr>
    </w:pPr>
    <w:proofErr w:type="spellStart"/>
    <w:r w:rsidRPr="008A2F60">
      <w:rPr>
        <w:rFonts w:ascii="Arial" w:hAnsi="Arial" w:cs="Arial"/>
        <w:sz w:val="16"/>
        <w:szCs w:val="16"/>
        <w:lang w:val="en-US"/>
      </w:rPr>
      <w:t>Página</w:t>
    </w:r>
    <w:proofErr w:type="spellEnd"/>
    <w:r w:rsidRPr="008A2F60">
      <w:rPr>
        <w:rFonts w:ascii="Arial" w:hAnsi="Arial" w:cs="Arial"/>
        <w:sz w:val="16"/>
        <w:szCs w:val="16"/>
        <w:lang w:val="en-US"/>
      </w:rPr>
      <w:t xml:space="preserve"> </w:t>
    </w:r>
    <w:r w:rsidRPr="008A2F60">
      <w:rPr>
        <w:rFonts w:ascii="Arial" w:hAnsi="Arial" w:cs="Arial"/>
        <w:sz w:val="16"/>
        <w:szCs w:val="16"/>
        <w:lang w:val="en-US"/>
      </w:rPr>
      <w:fldChar w:fldCharType="begin"/>
    </w:r>
    <w:r w:rsidRPr="008A2F60">
      <w:rPr>
        <w:rFonts w:ascii="Arial" w:hAnsi="Arial" w:cs="Arial"/>
        <w:sz w:val="16"/>
        <w:szCs w:val="16"/>
        <w:lang w:val="en-US"/>
      </w:rPr>
      <w:instrText xml:space="preserve"> PAGE   \* MERGEFORMAT </w:instrText>
    </w:r>
    <w:r w:rsidRPr="008A2F60">
      <w:rPr>
        <w:rFonts w:ascii="Arial" w:hAnsi="Arial" w:cs="Arial"/>
        <w:sz w:val="16"/>
        <w:szCs w:val="16"/>
        <w:lang w:val="en-US"/>
      </w:rPr>
      <w:fldChar w:fldCharType="separate"/>
    </w:r>
    <w:r w:rsidR="00BA5759">
      <w:rPr>
        <w:rFonts w:ascii="Arial" w:hAnsi="Arial" w:cs="Arial"/>
        <w:noProof/>
        <w:sz w:val="16"/>
        <w:szCs w:val="16"/>
        <w:lang w:val="en-US"/>
      </w:rPr>
      <w:t>2</w:t>
    </w:r>
    <w:r w:rsidRPr="008A2F60">
      <w:rPr>
        <w:rFonts w:ascii="Arial" w:hAnsi="Arial" w:cs="Arial"/>
        <w:noProof/>
        <w:sz w:val="16"/>
        <w:szCs w:val="16"/>
        <w:lang w:val="en-US"/>
      </w:rPr>
      <w:fldChar w:fldCharType="end"/>
    </w:r>
  </w:p>
  <w:p w:rsidR="008A2F60" w:rsidRPr="008A2F60" w:rsidRDefault="008A2F60">
    <w:pPr>
      <w:pStyle w:val="Header"/>
      <w:rPr>
        <w:noProof/>
        <w:sz w:val="16"/>
        <w:szCs w:val="16"/>
        <w:lang w:val="en-US"/>
      </w:rPr>
    </w:pPr>
  </w:p>
  <w:p w:rsidR="005D2D1A" w:rsidRPr="005D2D1A" w:rsidRDefault="005D2D1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1"/>
    <w:multiLevelType w:val="hybridMultilevel"/>
    <w:tmpl w:val="798EDB0C"/>
    <w:lvl w:ilvl="0" w:tplc="49689DFC">
      <w:start w:val="9"/>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481"/>
    <w:multiLevelType w:val="hybridMultilevel"/>
    <w:tmpl w:val="76089154"/>
    <w:lvl w:ilvl="0" w:tplc="68FE39B6">
      <w:numFmt w:val="bullet"/>
      <w:lvlText w:val="-"/>
      <w:lvlJc w:val="left"/>
      <w:pPr>
        <w:ind w:left="1080" w:hanging="360"/>
      </w:pPr>
      <w:rPr>
        <w:rFonts w:ascii="Book Antiqua" w:eastAsia="Calibr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C649F"/>
    <w:multiLevelType w:val="hybridMultilevel"/>
    <w:tmpl w:val="C520F4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AA0569"/>
    <w:multiLevelType w:val="hybridMultilevel"/>
    <w:tmpl w:val="97F055D0"/>
    <w:lvl w:ilvl="0" w:tplc="B8BEE1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FA7659"/>
    <w:multiLevelType w:val="hybridMultilevel"/>
    <w:tmpl w:val="EBDAA9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B325F9"/>
    <w:multiLevelType w:val="hybridMultilevel"/>
    <w:tmpl w:val="1A8A84A2"/>
    <w:lvl w:ilvl="0" w:tplc="6C86C0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9F550C"/>
    <w:multiLevelType w:val="hybridMultilevel"/>
    <w:tmpl w:val="DCC4D3E0"/>
    <w:lvl w:ilvl="0" w:tplc="0409000F">
      <w:start w:val="1"/>
      <w:numFmt w:val="decimal"/>
      <w:lvlText w:val="%1."/>
      <w:lvlJc w:val="left"/>
      <w:pPr>
        <w:tabs>
          <w:tab w:val="num" w:pos="1080"/>
        </w:tabs>
        <w:ind w:left="1080" w:hanging="360"/>
      </w:pPr>
    </w:lvl>
    <w:lvl w:ilvl="1" w:tplc="2A7AE3BC">
      <w:start w:val="1"/>
      <w:numFmt w:val="lowerLetter"/>
      <w:lvlText w:val="%2."/>
      <w:lvlJc w:val="left"/>
      <w:pPr>
        <w:tabs>
          <w:tab w:val="num" w:pos="1800"/>
        </w:tabs>
        <w:ind w:left="1800" w:hanging="360"/>
      </w:pPr>
      <w:rPr>
        <w:strike w:val="0"/>
        <w:dstrike w:val="0"/>
        <w:u w:val="none"/>
        <w:effect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2101A35"/>
    <w:multiLevelType w:val="hybridMultilevel"/>
    <w:tmpl w:val="164E23BE"/>
    <w:lvl w:ilvl="0" w:tplc="49689DFC">
      <w:start w:val="9"/>
      <w:numFmt w:val="bullet"/>
      <w:lvlText w:val="-"/>
      <w:lvlJc w:val="left"/>
      <w:pPr>
        <w:ind w:left="778" w:hanging="360"/>
      </w:pPr>
      <w:rPr>
        <w:rFonts w:ascii="Book Antiqua" w:eastAsia="Calibri" w:hAnsi="Book Antiqua"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1519037B"/>
    <w:multiLevelType w:val="hybridMultilevel"/>
    <w:tmpl w:val="80A82A00"/>
    <w:lvl w:ilvl="0" w:tplc="2DE87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E1817"/>
    <w:multiLevelType w:val="hybridMultilevel"/>
    <w:tmpl w:val="8C28860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7541A4"/>
    <w:multiLevelType w:val="hybridMultilevel"/>
    <w:tmpl w:val="11A8B688"/>
    <w:lvl w:ilvl="0" w:tplc="FAAE80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6364F0"/>
    <w:multiLevelType w:val="hybridMultilevel"/>
    <w:tmpl w:val="329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0478F"/>
    <w:multiLevelType w:val="hybridMultilevel"/>
    <w:tmpl w:val="FCDC4F10"/>
    <w:lvl w:ilvl="0" w:tplc="6DBE7026">
      <w:start w:val="1"/>
      <w:numFmt w:val="upperRoman"/>
      <w:lvlText w:val="%1."/>
      <w:lvlJc w:val="left"/>
      <w:pPr>
        <w:ind w:left="720" w:hanging="72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B74335"/>
    <w:multiLevelType w:val="hybridMultilevel"/>
    <w:tmpl w:val="F0F2278E"/>
    <w:lvl w:ilvl="0" w:tplc="FE6AAC9A">
      <w:start w:val="7"/>
      <w:numFmt w:val="bullet"/>
      <w:lvlText w:val="-"/>
      <w:lvlJc w:val="left"/>
      <w:pPr>
        <w:ind w:left="2520" w:hanging="360"/>
      </w:pPr>
      <w:rPr>
        <w:rFonts w:ascii="Book Antiqua" w:eastAsia="Calibri" w:hAnsi="Book Antiqua"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2F35E6F"/>
    <w:multiLevelType w:val="hybridMultilevel"/>
    <w:tmpl w:val="C65C47C2"/>
    <w:lvl w:ilvl="0" w:tplc="48E03F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C73FC4"/>
    <w:multiLevelType w:val="hybridMultilevel"/>
    <w:tmpl w:val="F9CEFCFC"/>
    <w:lvl w:ilvl="0" w:tplc="2A7AE3BC">
      <w:start w:val="1"/>
      <w:numFmt w:val="lowerLetter"/>
      <w:lvlText w:val="%1."/>
      <w:lvlJc w:val="left"/>
      <w:pPr>
        <w:tabs>
          <w:tab w:val="num" w:pos="3600"/>
        </w:tabs>
        <w:ind w:left="3600" w:hanging="360"/>
      </w:pPr>
      <w:rPr>
        <w:strike w:val="0"/>
        <w:dstrike w:val="0"/>
        <w:u w:val="none"/>
        <w:effect w:val="none"/>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36D42C2B"/>
    <w:multiLevelType w:val="hybridMultilevel"/>
    <w:tmpl w:val="DBD61F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885E40"/>
    <w:multiLevelType w:val="hybridMultilevel"/>
    <w:tmpl w:val="70CEFFC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13260C"/>
    <w:multiLevelType w:val="hybridMultilevel"/>
    <w:tmpl w:val="470C15C0"/>
    <w:lvl w:ilvl="0" w:tplc="04090015">
      <w:start w:val="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673229"/>
    <w:multiLevelType w:val="hybridMultilevel"/>
    <w:tmpl w:val="206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B462E"/>
    <w:multiLevelType w:val="hybridMultilevel"/>
    <w:tmpl w:val="F4A2974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21" w15:restartNumberingAfterBreak="0">
    <w:nsid w:val="496F78ED"/>
    <w:multiLevelType w:val="hybridMultilevel"/>
    <w:tmpl w:val="5FA82F74"/>
    <w:lvl w:ilvl="0" w:tplc="5588AD64">
      <w:start w:val="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A197741"/>
    <w:multiLevelType w:val="hybridMultilevel"/>
    <w:tmpl w:val="700CEEE6"/>
    <w:lvl w:ilvl="0" w:tplc="976C9EDA">
      <w:start w:val="1"/>
      <w:numFmt w:val="decimal"/>
      <w:lvlText w:val="%1."/>
      <w:lvlJc w:val="left"/>
      <w:pPr>
        <w:tabs>
          <w:tab w:val="num" w:pos="1368"/>
        </w:tabs>
        <w:ind w:left="136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C35F9F"/>
    <w:multiLevelType w:val="hybridMultilevel"/>
    <w:tmpl w:val="3CA85B9E"/>
    <w:lvl w:ilvl="0" w:tplc="49689DFC">
      <w:start w:val="9"/>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A6B03"/>
    <w:multiLevelType w:val="hybridMultilevel"/>
    <w:tmpl w:val="326A8188"/>
    <w:lvl w:ilvl="0" w:tplc="FE6AAC9A">
      <w:start w:val="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046C6"/>
    <w:multiLevelType w:val="hybridMultilevel"/>
    <w:tmpl w:val="5C8CCDEE"/>
    <w:lvl w:ilvl="0" w:tplc="083E993A">
      <w:start w:val="1"/>
      <w:numFmt w:val="decimal"/>
      <w:lvlText w:val="%1."/>
      <w:lvlJc w:val="left"/>
      <w:pPr>
        <w:tabs>
          <w:tab w:val="num" w:pos="1728"/>
        </w:tabs>
        <w:ind w:left="1728" w:hanging="288"/>
      </w:pPr>
    </w:lvl>
    <w:lvl w:ilvl="1" w:tplc="F1A00BB4">
      <w:start w:val="1"/>
      <w:numFmt w:val="lowerLetter"/>
      <w:lvlText w:val="%2."/>
      <w:lvlJc w:val="left"/>
      <w:pPr>
        <w:tabs>
          <w:tab w:val="num" w:pos="1872"/>
        </w:tabs>
        <w:ind w:left="2016" w:hanging="288"/>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94B5245"/>
    <w:multiLevelType w:val="hybridMultilevel"/>
    <w:tmpl w:val="BE6E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0245DB"/>
    <w:multiLevelType w:val="hybridMultilevel"/>
    <w:tmpl w:val="CF9E80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E05B07"/>
    <w:multiLevelType w:val="hybridMultilevel"/>
    <w:tmpl w:val="F4F62B72"/>
    <w:lvl w:ilvl="0" w:tplc="6FE2A78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9BF1152"/>
    <w:multiLevelType w:val="hybridMultilevel"/>
    <w:tmpl w:val="4B6CDE18"/>
    <w:lvl w:ilvl="0" w:tplc="49689DFC">
      <w:start w:val="9"/>
      <w:numFmt w:val="bullet"/>
      <w:lvlText w:val="-"/>
      <w:lvlJc w:val="left"/>
      <w:pPr>
        <w:ind w:left="2520" w:hanging="360"/>
      </w:pPr>
      <w:rPr>
        <w:rFonts w:ascii="Book Antiqua" w:eastAsia="Calibri"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1EB167E"/>
    <w:multiLevelType w:val="hybridMultilevel"/>
    <w:tmpl w:val="9DE6F5B6"/>
    <w:lvl w:ilvl="0" w:tplc="5C4AF71E">
      <w:start w:val="1"/>
      <w:numFmt w:val="upperRoman"/>
      <w:lvlText w:val="%1."/>
      <w:lvlJc w:val="left"/>
      <w:pPr>
        <w:tabs>
          <w:tab w:val="num" w:pos="360"/>
        </w:tabs>
        <w:ind w:left="360" w:hanging="360"/>
      </w:pPr>
      <w:rPr>
        <w:rFonts w:ascii="Book Antiqua" w:eastAsia="Times New Roman" w:hAnsi="Book Antiqua" w:cs="Times New Roman"/>
        <w:b/>
        <w:i/>
      </w:rPr>
    </w:lvl>
    <w:lvl w:ilvl="1" w:tplc="21760DFA">
      <w:start w:val="2"/>
      <w:numFmt w:val="lowerLetter"/>
      <w:lvlText w:val="%2."/>
      <w:lvlJc w:val="left"/>
      <w:pPr>
        <w:tabs>
          <w:tab w:val="num" w:pos="900"/>
        </w:tabs>
        <w:ind w:left="900" w:hanging="360"/>
      </w:pPr>
      <w:rPr>
        <w:rFonts w:hint="default"/>
      </w:rPr>
    </w:lvl>
    <w:lvl w:ilvl="2" w:tplc="A71683BA">
      <w:start w:val="1"/>
      <w:numFmt w:val="decimal"/>
      <w:lvlText w:val="%3."/>
      <w:lvlJc w:val="left"/>
      <w:pPr>
        <w:ind w:left="1440" w:hanging="360"/>
      </w:pPr>
      <w:rPr>
        <w:rFonts w:hint="default"/>
      </w:rPr>
    </w:lvl>
    <w:lvl w:ilvl="3" w:tplc="0409000F">
      <w:start w:val="1"/>
      <w:numFmt w:val="decimal"/>
      <w:lvlText w:val="%4."/>
      <w:lvlJc w:val="left"/>
      <w:pPr>
        <w:tabs>
          <w:tab w:val="num" w:pos="2520"/>
        </w:tabs>
        <w:ind w:left="2520" w:hanging="360"/>
      </w:pPr>
    </w:lvl>
    <w:lvl w:ilvl="4" w:tplc="B28A05D6">
      <w:start w:val="1"/>
      <w:numFmt w:val="upperLetter"/>
      <w:lvlText w:val="%5."/>
      <w:lvlJc w:val="left"/>
      <w:pPr>
        <w:ind w:left="3240" w:hanging="360"/>
      </w:pPr>
      <w:rPr>
        <w:rFonts w:hint="default"/>
      </w:rPr>
    </w:lvl>
    <w:lvl w:ilvl="5" w:tplc="291A1706">
      <w:start w:val="1"/>
      <w:numFmt w:val="decimal"/>
      <w:lvlText w:val="%6)"/>
      <w:lvlJc w:val="left"/>
      <w:pPr>
        <w:ind w:left="4140" w:hanging="360"/>
      </w:pPr>
      <w:rPr>
        <w:rFonts w:hint="default"/>
        <w:b w:val="0"/>
        <w:u w:val="none"/>
      </w:rPr>
    </w:lvl>
    <w:lvl w:ilvl="6" w:tplc="E18E81F2">
      <w:start w:val="3"/>
      <w:numFmt w:val="bullet"/>
      <w:lvlText w:val="-"/>
      <w:lvlJc w:val="left"/>
      <w:pPr>
        <w:ind w:left="4680" w:hanging="360"/>
      </w:pPr>
      <w:rPr>
        <w:rFonts w:ascii="Book Antiqua" w:eastAsia="Times New Roman" w:hAnsi="Book Antiqua" w:cs="Times New Roman"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8FE67AF"/>
    <w:multiLevelType w:val="hybridMultilevel"/>
    <w:tmpl w:val="C2AE4580"/>
    <w:lvl w:ilvl="0" w:tplc="04090019">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2" w15:restartNumberingAfterBreak="0">
    <w:nsid w:val="7FF948D3"/>
    <w:multiLevelType w:val="multilevel"/>
    <w:tmpl w:val="596E5ACA"/>
    <w:lvl w:ilvl="0">
      <w:start w:val="1"/>
      <w:numFmt w:val="lowerLetter"/>
      <w:lvlText w:val="%1."/>
      <w:lvlJc w:val="left"/>
      <w:pPr>
        <w:tabs>
          <w:tab w:val="num" w:pos="1800"/>
        </w:tabs>
        <w:ind w:left="1800" w:hanging="360"/>
      </w:pPr>
      <w:rPr>
        <w:rFonts w:hint="default"/>
        <w:b w:val="0"/>
        <w:i w:val="0"/>
        <w:sz w:val="20"/>
      </w:rPr>
    </w:lvl>
    <w:lvl w:ilvl="1">
      <w:start w:val="1"/>
      <w:numFmt w:val="upperLetter"/>
      <w:lvlText w:val="%2."/>
      <w:lvlJc w:val="left"/>
      <w:pPr>
        <w:ind w:left="2700" w:hanging="360"/>
      </w:pPr>
      <w:rPr>
        <w:rFonts w:hint="default"/>
      </w:rPr>
    </w:lvl>
    <w:lvl w:ilvl="2">
      <w:start w:val="1"/>
      <w:numFmt w:val="decimal"/>
      <w:lvlText w:val="%3."/>
      <w:lvlJc w:val="left"/>
      <w:pPr>
        <w:ind w:left="3060" w:hanging="360"/>
      </w:pPr>
      <w:rPr>
        <w:rFonts w:ascii="Book Antiqua" w:eastAsia="Times New Roman" w:hAnsi="Book Antiqua" w:cs="Times New Roman"/>
      </w:rPr>
    </w:lvl>
    <w:lvl w:ilvl="3">
      <w:start w:val="1"/>
      <w:numFmt w:val="bullet"/>
      <w:lvlText w:val=""/>
      <w:lvlJc w:val="left"/>
      <w:pPr>
        <w:tabs>
          <w:tab w:val="num" w:pos="3960"/>
        </w:tabs>
        <w:ind w:left="3960" w:hanging="360"/>
      </w:pPr>
      <w:rPr>
        <w:rFonts w:ascii="Wingdings" w:hAnsi="Wingdings" w:hint="default"/>
        <w:sz w:val="20"/>
      </w:rPr>
    </w:lvl>
    <w:lvl w:ilvl="4">
      <w:start w:val="5"/>
      <w:numFmt w:val="decimal"/>
      <w:lvlText w:val="%5)"/>
      <w:lvlJc w:val="left"/>
      <w:pPr>
        <w:ind w:left="4680" w:hanging="360"/>
      </w:pPr>
      <w:rPr>
        <w:rFonts w:hint="default"/>
        <w:b w:val="0"/>
        <w:color w:val="FF0000"/>
        <w:u w:val="none"/>
      </w:rPr>
    </w:lvl>
    <w:lvl w:ilvl="5">
      <w:start w:val="1"/>
      <w:numFmt w:val="lowerRoman"/>
      <w:lvlText w:val="(%6)"/>
      <w:lvlJc w:val="left"/>
      <w:pPr>
        <w:ind w:left="5760" w:hanging="720"/>
      </w:pPr>
      <w:rPr>
        <w:rFonts w:hint="default"/>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2"/>
  </w:num>
  <w:num w:numId="11">
    <w:abstractNumId w:val="10"/>
  </w:num>
  <w:num w:numId="12">
    <w:abstractNumId w:val="3"/>
  </w:num>
  <w:num w:numId="13">
    <w:abstractNumId w:val="32"/>
  </w:num>
  <w:num w:numId="14">
    <w:abstractNumId w:val="27"/>
  </w:num>
  <w:num w:numId="15">
    <w:abstractNumId w:val="17"/>
  </w:num>
  <w:num w:numId="16">
    <w:abstractNumId w:val="31"/>
  </w:num>
  <w:num w:numId="17">
    <w:abstractNumId w:val="4"/>
  </w:num>
  <w:num w:numId="18">
    <w:abstractNumId w:val="30"/>
  </w:num>
  <w:num w:numId="19">
    <w:abstractNumId w:val="16"/>
  </w:num>
  <w:num w:numId="20">
    <w:abstractNumId w:val="14"/>
  </w:num>
  <w:num w:numId="21">
    <w:abstractNumId w:val="28"/>
  </w:num>
  <w:num w:numId="22">
    <w:abstractNumId w:val="9"/>
  </w:num>
  <w:num w:numId="23">
    <w:abstractNumId w:val="2"/>
  </w:num>
  <w:num w:numId="24">
    <w:abstractNumId w:val="18"/>
  </w:num>
  <w:num w:numId="25">
    <w:abstractNumId w:val="11"/>
  </w:num>
  <w:num w:numId="26">
    <w:abstractNumId w:val="24"/>
  </w:num>
  <w:num w:numId="27">
    <w:abstractNumId w:val="13"/>
  </w:num>
  <w:num w:numId="28">
    <w:abstractNumId w:val="29"/>
  </w:num>
  <w:num w:numId="29">
    <w:abstractNumId w:val="1"/>
  </w:num>
  <w:num w:numId="30">
    <w:abstractNumId w:val="23"/>
  </w:num>
  <w:num w:numId="31">
    <w:abstractNumId w:val="7"/>
  </w:num>
  <w:num w:numId="32">
    <w:abstractNumId w:val="19"/>
  </w:num>
  <w:num w:numId="33">
    <w:abstractNumId w:val="0"/>
  </w:num>
  <w:num w:numId="34">
    <w:abstractNumId w:val="7"/>
  </w:num>
  <w:num w:numId="35">
    <w:abstractNumId w:val="1"/>
  </w:num>
  <w:num w:numId="36">
    <w:abstractNumId w:val="29"/>
  </w:num>
  <w:num w:numId="37">
    <w:abstractNumId w:val="2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F0"/>
    <w:rsid w:val="00006648"/>
    <w:rsid w:val="0001039F"/>
    <w:rsid w:val="00014AD3"/>
    <w:rsid w:val="00022D38"/>
    <w:rsid w:val="0003319E"/>
    <w:rsid w:val="000805B6"/>
    <w:rsid w:val="0008499C"/>
    <w:rsid w:val="00087375"/>
    <w:rsid w:val="000943AD"/>
    <w:rsid w:val="00097B75"/>
    <w:rsid w:val="000A5C60"/>
    <w:rsid w:val="000B1433"/>
    <w:rsid w:val="000B1710"/>
    <w:rsid w:val="000B6CCF"/>
    <w:rsid w:val="000B7938"/>
    <w:rsid w:val="000C2947"/>
    <w:rsid w:val="000C3050"/>
    <w:rsid w:val="000D6744"/>
    <w:rsid w:val="000E3377"/>
    <w:rsid w:val="000E3834"/>
    <w:rsid w:val="000E4AE2"/>
    <w:rsid w:val="0011363A"/>
    <w:rsid w:val="00132FF5"/>
    <w:rsid w:val="001371B7"/>
    <w:rsid w:val="00151F27"/>
    <w:rsid w:val="00162A64"/>
    <w:rsid w:val="00164E70"/>
    <w:rsid w:val="00167C4B"/>
    <w:rsid w:val="00171355"/>
    <w:rsid w:val="00171D12"/>
    <w:rsid w:val="00180318"/>
    <w:rsid w:val="001856C1"/>
    <w:rsid w:val="00192D78"/>
    <w:rsid w:val="001B5F3B"/>
    <w:rsid w:val="001D00F6"/>
    <w:rsid w:val="001D7354"/>
    <w:rsid w:val="001D7D94"/>
    <w:rsid w:val="001E7D7F"/>
    <w:rsid w:val="001F28A5"/>
    <w:rsid w:val="001F3C24"/>
    <w:rsid w:val="001F6C5D"/>
    <w:rsid w:val="001F72B0"/>
    <w:rsid w:val="002064D8"/>
    <w:rsid w:val="002071BC"/>
    <w:rsid w:val="0021016D"/>
    <w:rsid w:val="00222845"/>
    <w:rsid w:val="00225DB2"/>
    <w:rsid w:val="002361F4"/>
    <w:rsid w:val="00236D77"/>
    <w:rsid w:val="00237045"/>
    <w:rsid w:val="002476F0"/>
    <w:rsid w:val="002559FC"/>
    <w:rsid w:val="00256FA9"/>
    <w:rsid w:val="00265225"/>
    <w:rsid w:val="00275D5E"/>
    <w:rsid w:val="00286A83"/>
    <w:rsid w:val="002A0904"/>
    <w:rsid w:val="002A56D2"/>
    <w:rsid w:val="002A6707"/>
    <w:rsid w:val="002A6970"/>
    <w:rsid w:val="002B0DB2"/>
    <w:rsid w:val="002B10D7"/>
    <w:rsid w:val="002D2102"/>
    <w:rsid w:val="002F071E"/>
    <w:rsid w:val="002F2148"/>
    <w:rsid w:val="0031008B"/>
    <w:rsid w:val="0031261F"/>
    <w:rsid w:val="003136DD"/>
    <w:rsid w:val="00324EE7"/>
    <w:rsid w:val="0033188A"/>
    <w:rsid w:val="0035179C"/>
    <w:rsid w:val="003626C9"/>
    <w:rsid w:val="00362D8A"/>
    <w:rsid w:val="00366058"/>
    <w:rsid w:val="0037474E"/>
    <w:rsid w:val="00385566"/>
    <w:rsid w:val="003A2554"/>
    <w:rsid w:val="003B3D28"/>
    <w:rsid w:val="003C5C9B"/>
    <w:rsid w:val="003C7C68"/>
    <w:rsid w:val="003D0236"/>
    <w:rsid w:val="003F315E"/>
    <w:rsid w:val="003F7A19"/>
    <w:rsid w:val="0040051D"/>
    <w:rsid w:val="00412FC4"/>
    <w:rsid w:val="00414D70"/>
    <w:rsid w:val="00416625"/>
    <w:rsid w:val="00416EA6"/>
    <w:rsid w:val="00436984"/>
    <w:rsid w:val="004574E8"/>
    <w:rsid w:val="0047760E"/>
    <w:rsid w:val="00477C32"/>
    <w:rsid w:val="004820B8"/>
    <w:rsid w:val="004A7806"/>
    <w:rsid w:val="004C45C8"/>
    <w:rsid w:val="004D4762"/>
    <w:rsid w:val="004E21E7"/>
    <w:rsid w:val="004E4034"/>
    <w:rsid w:val="004F18D3"/>
    <w:rsid w:val="00506036"/>
    <w:rsid w:val="00517DE8"/>
    <w:rsid w:val="00517F21"/>
    <w:rsid w:val="005273E6"/>
    <w:rsid w:val="00530DB2"/>
    <w:rsid w:val="00535DBA"/>
    <w:rsid w:val="00540260"/>
    <w:rsid w:val="00551590"/>
    <w:rsid w:val="00563ECA"/>
    <w:rsid w:val="00564C08"/>
    <w:rsid w:val="005716B4"/>
    <w:rsid w:val="00574652"/>
    <w:rsid w:val="005778F6"/>
    <w:rsid w:val="00582099"/>
    <w:rsid w:val="005979E6"/>
    <w:rsid w:val="005A3A19"/>
    <w:rsid w:val="005A61E5"/>
    <w:rsid w:val="005A6E7A"/>
    <w:rsid w:val="005B7252"/>
    <w:rsid w:val="005C3B2C"/>
    <w:rsid w:val="005C7823"/>
    <w:rsid w:val="005D0AF2"/>
    <w:rsid w:val="005D21B0"/>
    <w:rsid w:val="005D2D1A"/>
    <w:rsid w:val="005E389B"/>
    <w:rsid w:val="005E479C"/>
    <w:rsid w:val="005E51FF"/>
    <w:rsid w:val="00604D7D"/>
    <w:rsid w:val="00610E86"/>
    <w:rsid w:val="00616FA4"/>
    <w:rsid w:val="006211FA"/>
    <w:rsid w:val="00624867"/>
    <w:rsid w:val="00633E58"/>
    <w:rsid w:val="006438A2"/>
    <w:rsid w:val="00644BC5"/>
    <w:rsid w:val="00655A09"/>
    <w:rsid w:val="00656031"/>
    <w:rsid w:val="006574BC"/>
    <w:rsid w:val="00662021"/>
    <w:rsid w:val="00662B87"/>
    <w:rsid w:val="00662CDC"/>
    <w:rsid w:val="006658C2"/>
    <w:rsid w:val="006706D5"/>
    <w:rsid w:val="00670BED"/>
    <w:rsid w:val="00670FC7"/>
    <w:rsid w:val="00671EF3"/>
    <w:rsid w:val="00685166"/>
    <w:rsid w:val="00696F64"/>
    <w:rsid w:val="006C1408"/>
    <w:rsid w:val="006C7CD2"/>
    <w:rsid w:val="006D2BCE"/>
    <w:rsid w:val="006D4B36"/>
    <w:rsid w:val="006D6AB8"/>
    <w:rsid w:val="006E237B"/>
    <w:rsid w:val="007024E7"/>
    <w:rsid w:val="00710E6B"/>
    <w:rsid w:val="0071231D"/>
    <w:rsid w:val="00712FC9"/>
    <w:rsid w:val="0071481A"/>
    <w:rsid w:val="007174E4"/>
    <w:rsid w:val="00722628"/>
    <w:rsid w:val="007229D9"/>
    <w:rsid w:val="007241AF"/>
    <w:rsid w:val="00731964"/>
    <w:rsid w:val="00745DED"/>
    <w:rsid w:val="0075266E"/>
    <w:rsid w:val="007548FD"/>
    <w:rsid w:val="00756E8F"/>
    <w:rsid w:val="00766BE7"/>
    <w:rsid w:val="0077488F"/>
    <w:rsid w:val="00776E81"/>
    <w:rsid w:val="007915E7"/>
    <w:rsid w:val="00793434"/>
    <w:rsid w:val="007A346D"/>
    <w:rsid w:val="007D7808"/>
    <w:rsid w:val="007D7E57"/>
    <w:rsid w:val="007F56AF"/>
    <w:rsid w:val="0080081E"/>
    <w:rsid w:val="008043C7"/>
    <w:rsid w:val="0080723A"/>
    <w:rsid w:val="00817EE3"/>
    <w:rsid w:val="00822428"/>
    <w:rsid w:val="00832F36"/>
    <w:rsid w:val="0083387D"/>
    <w:rsid w:val="00840D73"/>
    <w:rsid w:val="00842C58"/>
    <w:rsid w:val="00843222"/>
    <w:rsid w:val="00851DBC"/>
    <w:rsid w:val="00854A84"/>
    <w:rsid w:val="00865494"/>
    <w:rsid w:val="00871203"/>
    <w:rsid w:val="00871825"/>
    <w:rsid w:val="00872FE8"/>
    <w:rsid w:val="00876AB3"/>
    <w:rsid w:val="00876BC8"/>
    <w:rsid w:val="0089310E"/>
    <w:rsid w:val="008A2F60"/>
    <w:rsid w:val="008C3098"/>
    <w:rsid w:val="008C3B6C"/>
    <w:rsid w:val="008D1E9D"/>
    <w:rsid w:val="008E2D9A"/>
    <w:rsid w:val="008E61D8"/>
    <w:rsid w:val="009038F3"/>
    <w:rsid w:val="0090743D"/>
    <w:rsid w:val="00943DF0"/>
    <w:rsid w:val="00956A88"/>
    <w:rsid w:val="009604D0"/>
    <w:rsid w:val="00976B6B"/>
    <w:rsid w:val="00980E9E"/>
    <w:rsid w:val="00985AA5"/>
    <w:rsid w:val="009A14F3"/>
    <w:rsid w:val="009C4CB2"/>
    <w:rsid w:val="009F5195"/>
    <w:rsid w:val="009F7EAE"/>
    <w:rsid w:val="00A06205"/>
    <w:rsid w:val="00A10388"/>
    <w:rsid w:val="00A10F3C"/>
    <w:rsid w:val="00A122AD"/>
    <w:rsid w:val="00A20B7F"/>
    <w:rsid w:val="00A22710"/>
    <w:rsid w:val="00A22C53"/>
    <w:rsid w:val="00A264A2"/>
    <w:rsid w:val="00A36CB6"/>
    <w:rsid w:val="00A402C1"/>
    <w:rsid w:val="00A56CFC"/>
    <w:rsid w:val="00A7172D"/>
    <w:rsid w:val="00A72DBA"/>
    <w:rsid w:val="00AA039D"/>
    <w:rsid w:val="00AC52CE"/>
    <w:rsid w:val="00AD13FC"/>
    <w:rsid w:val="00AF18EC"/>
    <w:rsid w:val="00AF2311"/>
    <w:rsid w:val="00AF3EEA"/>
    <w:rsid w:val="00B12B0D"/>
    <w:rsid w:val="00B133E7"/>
    <w:rsid w:val="00B13652"/>
    <w:rsid w:val="00B16250"/>
    <w:rsid w:val="00B1761C"/>
    <w:rsid w:val="00B202D1"/>
    <w:rsid w:val="00B27A33"/>
    <w:rsid w:val="00B355B2"/>
    <w:rsid w:val="00B37352"/>
    <w:rsid w:val="00B47D1C"/>
    <w:rsid w:val="00B5161D"/>
    <w:rsid w:val="00B61883"/>
    <w:rsid w:val="00B67027"/>
    <w:rsid w:val="00B73BC1"/>
    <w:rsid w:val="00B8451D"/>
    <w:rsid w:val="00B845F1"/>
    <w:rsid w:val="00B90502"/>
    <w:rsid w:val="00B95D11"/>
    <w:rsid w:val="00BA1C82"/>
    <w:rsid w:val="00BA5179"/>
    <w:rsid w:val="00BA5759"/>
    <w:rsid w:val="00BB11A9"/>
    <w:rsid w:val="00BB389E"/>
    <w:rsid w:val="00BB5F43"/>
    <w:rsid w:val="00BE32B5"/>
    <w:rsid w:val="00BF1719"/>
    <w:rsid w:val="00BF3991"/>
    <w:rsid w:val="00BF3F5D"/>
    <w:rsid w:val="00BF5972"/>
    <w:rsid w:val="00C02789"/>
    <w:rsid w:val="00C07AA4"/>
    <w:rsid w:val="00C116A0"/>
    <w:rsid w:val="00C12418"/>
    <w:rsid w:val="00C12880"/>
    <w:rsid w:val="00C168B2"/>
    <w:rsid w:val="00C355F1"/>
    <w:rsid w:val="00C43C87"/>
    <w:rsid w:val="00C47AA0"/>
    <w:rsid w:val="00C51584"/>
    <w:rsid w:val="00C62F01"/>
    <w:rsid w:val="00C702A2"/>
    <w:rsid w:val="00C771CD"/>
    <w:rsid w:val="00C847CE"/>
    <w:rsid w:val="00C86092"/>
    <w:rsid w:val="00C90B7A"/>
    <w:rsid w:val="00CA4D27"/>
    <w:rsid w:val="00CA4E4F"/>
    <w:rsid w:val="00CB51EB"/>
    <w:rsid w:val="00CB6C87"/>
    <w:rsid w:val="00CC32AA"/>
    <w:rsid w:val="00CC3CA0"/>
    <w:rsid w:val="00CD0B3D"/>
    <w:rsid w:val="00CD5DB7"/>
    <w:rsid w:val="00CE6915"/>
    <w:rsid w:val="00CE7A47"/>
    <w:rsid w:val="00CF061B"/>
    <w:rsid w:val="00CF35A9"/>
    <w:rsid w:val="00CF5F7D"/>
    <w:rsid w:val="00D04D85"/>
    <w:rsid w:val="00D20C56"/>
    <w:rsid w:val="00D263A6"/>
    <w:rsid w:val="00D41664"/>
    <w:rsid w:val="00D4711D"/>
    <w:rsid w:val="00D51D1F"/>
    <w:rsid w:val="00D578B0"/>
    <w:rsid w:val="00D64A70"/>
    <w:rsid w:val="00D7478E"/>
    <w:rsid w:val="00D7515E"/>
    <w:rsid w:val="00D933F8"/>
    <w:rsid w:val="00DB0585"/>
    <w:rsid w:val="00DB4C8C"/>
    <w:rsid w:val="00DC0062"/>
    <w:rsid w:val="00DC1EB8"/>
    <w:rsid w:val="00DD3FB6"/>
    <w:rsid w:val="00DF20D6"/>
    <w:rsid w:val="00E029C7"/>
    <w:rsid w:val="00E25651"/>
    <w:rsid w:val="00E3059A"/>
    <w:rsid w:val="00E34DC9"/>
    <w:rsid w:val="00E4155F"/>
    <w:rsid w:val="00E4303F"/>
    <w:rsid w:val="00E52C21"/>
    <w:rsid w:val="00E76527"/>
    <w:rsid w:val="00E77A1C"/>
    <w:rsid w:val="00E77D94"/>
    <w:rsid w:val="00EA0E6C"/>
    <w:rsid w:val="00EC0818"/>
    <w:rsid w:val="00EC2ED3"/>
    <w:rsid w:val="00EE77D8"/>
    <w:rsid w:val="00EF3623"/>
    <w:rsid w:val="00F04EC5"/>
    <w:rsid w:val="00F11CC3"/>
    <w:rsid w:val="00F13C07"/>
    <w:rsid w:val="00F161F7"/>
    <w:rsid w:val="00F23BB9"/>
    <w:rsid w:val="00F3182A"/>
    <w:rsid w:val="00F335F6"/>
    <w:rsid w:val="00F4299D"/>
    <w:rsid w:val="00F4533D"/>
    <w:rsid w:val="00F56F22"/>
    <w:rsid w:val="00F64F3D"/>
    <w:rsid w:val="00F7263F"/>
    <w:rsid w:val="00F768AD"/>
    <w:rsid w:val="00F82852"/>
    <w:rsid w:val="00F83B92"/>
    <w:rsid w:val="00F873A2"/>
    <w:rsid w:val="00FA2C9B"/>
    <w:rsid w:val="00FB43D0"/>
    <w:rsid w:val="00FC0B1A"/>
    <w:rsid w:val="00FC4B8E"/>
    <w:rsid w:val="00FC61E7"/>
    <w:rsid w:val="00FC7D9D"/>
    <w:rsid w:val="00FD54ED"/>
    <w:rsid w:val="00FE123F"/>
    <w:rsid w:val="00FE5214"/>
    <w:rsid w:val="00FE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C4C613-1C40-4DC8-AB10-F7178F62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1883"/>
    <w:pPr>
      <w:spacing w:after="0" w:line="240" w:lineRule="auto"/>
      <w:ind w:left="720"/>
    </w:pPr>
    <w:rPr>
      <w:rFonts w:ascii="Times New Roman" w:eastAsia="Times New Roman" w:hAnsi="Times New Roman" w:cs="Times New Roman"/>
      <w:sz w:val="24"/>
      <w:szCs w:val="24"/>
      <w:lang w:val="es-PR"/>
    </w:rPr>
  </w:style>
  <w:style w:type="paragraph" w:styleId="NormalWeb">
    <w:name w:val="Normal (Web)"/>
    <w:basedOn w:val="Normal"/>
    <w:rsid w:val="00B618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883"/>
    <w:pPr>
      <w:tabs>
        <w:tab w:val="center" w:pos="4680"/>
        <w:tab w:val="right" w:pos="9360"/>
      </w:tabs>
      <w:spacing w:after="0" w:line="240" w:lineRule="auto"/>
    </w:pPr>
    <w:rPr>
      <w:rFonts w:ascii="Times New Roman" w:eastAsia="Times New Roman" w:hAnsi="Times New Roman" w:cs="Times New Roman"/>
      <w:sz w:val="24"/>
      <w:szCs w:val="24"/>
      <w:lang w:val="es-PR"/>
    </w:rPr>
  </w:style>
  <w:style w:type="character" w:customStyle="1" w:styleId="HeaderChar">
    <w:name w:val="Header Char"/>
    <w:basedOn w:val="DefaultParagraphFont"/>
    <w:link w:val="Header"/>
    <w:uiPriority w:val="99"/>
    <w:rsid w:val="00B61883"/>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B6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83"/>
  </w:style>
  <w:style w:type="paragraph" w:styleId="NoSpacing">
    <w:name w:val="No Spacing"/>
    <w:uiPriority w:val="1"/>
    <w:qFormat/>
    <w:rsid w:val="00FE5214"/>
    <w:pPr>
      <w:spacing w:after="0" w:line="240" w:lineRule="auto"/>
    </w:pPr>
  </w:style>
  <w:style w:type="paragraph" w:styleId="BalloonText">
    <w:name w:val="Balloon Text"/>
    <w:basedOn w:val="Normal"/>
    <w:link w:val="BalloonTextChar"/>
    <w:uiPriority w:val="99"/>
    <w:semiHidden/>
    <w:unhideWhenUsed/>
    <w:rsid w:val="0027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5E"/>
    <w:rPr>
      <w:rFonts w:ascii="Tahoma" w:hAnsi="Tahoma" w:cs="Tahoma"/>
      <w:sz w:val="16"/>
      <w:szCs w:val="16"/>
    </w:rPr>
  </w:style>
  <w:style w:type="paragraph" w:customStyle="1" w:styleId="Default">
    <w:name w:val="Default"/>
    <w:rsid w:val="000943AD"/>
    <w:pPr>
      <w:autoSpaceDE w:val="0"/>
      <w:autoSpaceDN w:val="0"/>
      <w:adjustRightInd w:val="0"/>
      <w:spacing w:before="100"/>
    </w:pPr>
    <w:rPr>
      <w:rFonts w:ascii="Book Antiqua" w:hAnsi="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904">
      <w:bodyDiv w:val="1"/>
      <w:marLeft w:val="0"/>
      <w:marRight w:val="0"/>
      <w:marTop w:val="0"/>
      <w:marBottom w:val="0"/>
      <w:divBdr>
        <w:top w:val="none" w:sz="0" w:space="0" w:color="auto"/>
        <w:left w:val="none" w:sz="0" w:space="0" w:color="auto"/>
        <w:bottom w:val="none" w:sz="0" w:space="0" w:color="auto"/>
        <w:right w:val="none" w:sz="0" w:space="0" w:color="auto"/>
      </w:divBdr>
    </w:div>
    <w:div w:id="145782510">
      <w:bodyDiv w:val="1"/>
      <w:marLeft w:val="0"/>
      <w:marRight w:val="0"/>
      <w:marTop w:val="0"/>
      <w:marBottom w:val="0"/>
      <w:divBdr>
        <w:top w:val="none" w:sz="0" w:space="0" w:color="auto"/>
        <w:left w:val="none" w:sz="0" w:space="0" w:color="auto"/>
        <w:bottom w:val="none" w:sz="0" w:space="0" w:color="auto"/>
        <w:right w:val="none" w:sz="0" w:space="0" w:color="auto"/>
      </w:divBdr>
    </w:div>
    <w:div w:id="162821138">
      <w:bodyDiv w:val="1"/>
      <w:marLeft w:val="0"/>
      <w:marRight w:val="0"/>
      <w:marTop w:val="0"/>
      <w:marBottom w:val="0"/>
      <w:divBdr>
        <w:top w:val="none" w:sz="0" w:space="0" w:color="auto"/>
        <w:left w:val="none" w:sz="0" w:space="0" w:color="auto"/>
        <w:bottom w:val="none" w:sz="0" w:space="0" w:color="auto"/>
        <w:right w:val="none" w:sz="0" w:space="0" w:color="auto"/>
      </w:divBdr>
    </w:div>
    <w:div w:id="295261341">
      <w:bodyDiv w:val="1"/>
      <w:marLeft w:val="0"/>
      <w:marRight w:val="0"/>
      <w:marTop w:val="0"/>
      <w:marBottom w:val="0"/>
      <w:divBdr>
        <w:top w:val="none" w:sz="0" w:space="0" w:color="auto"/>
        <w:left w:val="none" w:sz="0" w:space="0" w:color="auto"/>
        <w:bottom w:val="none" w:sz="0" w:space="0" w:color="auto"/>
        <w:right w:val="none" w:sz="0" w:space="0" w:color="auto"/>
      </w:divBdr>
    </w:div>
    <w:div w:id="341051794">
      <w:bodyDiv w:val="1"/>
      <w:marLeft w:val="0"/>
      <w:marRight w:val="0"/>
      <w:marTop w:val="0"/>
      <w:marBottom w:val="0"/>
      <w:divBdr>
        <w:top w:val="none" w:sz="0" w:space="0" w:color="auto"/>
        <w:left w:val="none" w:sz="0" w:space="0" w:color="auto"/>
        <w:bottom w:val="none" w:sz="0" w:space="0" w:color="auto"/>
        <w:right w:val="none" w:sz="0" w:space="0" w:color="auto"/>
      </w:divBdr>
    </w:div>
    <w:div w:id="729229710">
      <w:bodyDiv w:val="1"/>
      <w:marLeft w:val="0"/>
      <w:marRight w:val="0"/>
      <w:marTop w:val="0"/>
      <w:marBottom w:val="0"/>
      <w:divBdr>
        <w:top w:val="none" w:sz="0" w:space="0" w:color="auto"/>
        <w:left w:val="none" w:sz="0" w:space="0" w:color="auto"/>
        <w:bottom w:val="none" w:sz="0" w:space="0" w:color="auto"/>
        <w:right w:val="none" w:sz="0" w:space="0" w:color="auto"/>
      </w:divBdr>
    </w:div>
    <w:div w:id="754203308">
      <w:bodyDiv w:val="1"/>
      <w:marLeft w:val="0"/>
      <w:marRight w:val="0"/>
      <w:marTop w:val="0"/>
      <w:marBottom w:val="0"/>
      <w:divBdr>
        <w:top w:val="none" w:sz="0" w:space="0" w:color="auto"/>
        <w:left w:val="none" w:sz="0" w:space="0" w:color="auto"/>
        <w:bottom w:val="none" w:sz="0" w:space="0" w:color="auto"/>
        <w:right w:val="none" w:sz="0" w:space="0" w:color="auto"/>
      </w:divBdr>
    </w:div>
    <w:div w:id="1015349846">
      <w:bodyDiv w:val="1"/>
      <w:marLeft w:val="0"/>
      <w:marRight w:val="0"/>
      <w:marTop w:val="0"/>
      <w:marBottom w:val="0"/>
      <w:divBdr>
        <w:top w:val="none" w:sz="0" w:space="0" w:color="auto"/>
        <w:left w:val="none" w:sz="0" w:space="0" w:color="auto"/>
        <w:bottom w:val="none" w:sz="0" w:space="0" w:color="auto"/>
        <w:right w:val="none" w:sz="0" w:space="0" w:color="auto"/>
      </w:divBdr>
    </w:div>
    <w:div w:id="1025980260">
      <w:bodyDiv w:val="1"/>
      <w:marLeft w:val="0"/>
      <w:marRight w:val="0"/>
      <w:marTop w:val="0"/>
      <w:marBottom w:val="0"/>
      <w:divBdr>
        <w:top w:val="none" w:sz="0" w:space="0" w:color="auto"/>
        <w:left w:val="none" w:sz="0" w:space="0" w:color="auto"/>
        <w:bottom w:val="none" w:sz="0" w:space="0" w:color="auto"/>
        <w:right w:val="none" w:sz="0" w:space="0" w:color="auto"/>
      </w:divBdr>
    </w:div>
    <w:div w:id="1036350957">
      <w:bodyDiv w:val="1"/>
      <w:marLeft w:val="0"/>
      <w:marRight w:val="0"/>
      <w:marTop w:val="0"/>
      <w:marBottom w:val="0"/>
      <w:divBdr>
        <w:top w:val="none" w:sz="0" w:space="0" w:color="auto"/>
        <w:left w:val="none" w:sz="0" w:space="0" w:color="auto"/>
        <w:bottom w:val="none" w:sz="0" w:space="0" w:color="auto"/>
        <w:right w:val="none" w:sz="0" w:space="0" w:color="auto"/>
      </w:divBdr>
    </w:div>
    <w:div w:id="1250692832">
      <w:bodyDiv w:val="1"/>
      <w:marLeft w:val="0"/>
      <w:marRight w:val="0"/>
      <w:marTop w:val="0"/>
      <w:marBottom w:val="0"/>
      <w:divBdr>
        <w:top w:val="none" w:sz="0" w:space="0" w:color="auto"/>
        <w:left w:val="none" w:sz="0" w:space="0" w:color="auto"/>
        <w:bottom w:val="none" w:sz="0" w:space="0" w:color="auto"/>
        <w:right w:val="none" w:sz="0" w:space="0" w:color="auto"/>
      </w:divBdr>
    </w:div>
    <w:div w:id="1414275536">
      <w:bodyDiv w:val="1"/>
      <w:marLeft w:val="0"/>
      <w:marRight w:val="0"/>
      <w:marTop w:val="0"/>
      <w:marBottom w:val="0"/>
      <w:divBdr>
        <w:top w:val="none" w:sz="0" w:space="0" w:color="auto"/>
        <w:left w:val="none" w:sz="0" w:space="0" w:color="auto"/>
        <w:bottom w:val="none" w:sz="0" w:space="0" w:color="auto"/>
        <w:right w:val="none" w:sz="0" w:space="0" w:color="auto"/>
      </w:divBdr>
    </w:div>
    <w:div w:id="1727531667">
      <w:bodyDiv w:val="1"/>
      <w:marLeft w:val="0"/>
      <w:marRight w:val="0"/>
      <w:marTop w:val="0"/>
      <w:marBottom w:val="0"/>
      <w:divBdr>
        <w:top w:val="none" w:sz="0" w:space="0" w:color="auto"/>
        <w:left w:val="none" w:sz="0" w:space="0" w:color="auto"/>
        <w:bottom w:val="none" w:sz="0" w:space="0" w:color="auto"/>
        <w:right w:val="none" w:sz="0" w:space="0" w:color="auto"/>
      </w:divBdr>
    </w:div>
    <w:div w:id="1805151676">
      <w:bodyDiv w:val="1"/>
      <w:marLeft w:val="0"/>
      <w:marRight w:val="0"/>
      <w:marTop w:val="0"/>
      <w:marBottom w:val="0"/>
      <w:divBdr>
        <w:top w:val="none" w:sz="0" w:space="0" w:color="auto"/>
        <w:left w:val="none" w:sz="0" w:space="0" w:color="auto"/>
        <w:bottom w:val="none" w:sz="0" w:space="0" w:color="auto"/>
        <w:right w:val="none" w:sz="0" w:space="0" w:color="auto"/>
      </w:divBdr>
    </w:div>
    <w:div w:id="1832059119">
      <w:bodyDiv w:val="1"/>
      <w:marLeft w:val="0"/>
      <w:marRight w:val="0"/>
      <w:marTop w:val="0"/>
      <w:marBottom w:val="0"/>
      <w:divBdr>
        <w:top w:val="none" w:sz="0" w:space="0" w:color="auto"/>
        <w:left w:val="none" w:sz="0" w:space="0" w:color="auto"/>
        <w:bottom w:val="none" w:sz="0" w:space="0" w:color="auto"/>
        <w:right w:val="none" w:sz="0" w:space="0" w:color="auto"/>
      </w:divBdr>
    </w:div>
    <w:div w:id="20461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35CDCE79CD9D468FC0FF16CE2385C2" ma:contentTypeVersion="0" ma:contentTypeDescription="Create a new document." ma:contentTypeScope="" ma:versionID="485df72f0b34335f272d0c697f7c477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C5B9D-AE53-40B3-A8A4-2FCA57656D43}"/>
</file>

<file path=customXml/itemProps2.xml><?xml version="1.0" encoding="utf-8"?>
<ds:datastoreItem xmlns:ds="http://schemas.openxmlformats.org/officeDocument/2006/customXml" ds:itemID="{DD96D284-A774-421E-B929-DFB50EEBA794}"/>
</file>

<file path=customXml/itemProps3.xml><?xml version="1.0" encoding="utf-8"?>
<ds:datastoreItem xmlns:ds="http://schemas.openxmlformats.org/officeDocument/2006/customXml" ds:itemID="{6AEBEE89-4F71-45EA-BDD4-1CEEB41826C2}"/>
</file>

<file path=customXml/itemProps4.xml><?xml version="1.0" encoding="utf-8"?>
<ds:datastoreItem xmlns:ds="http://schemas.openxmlformats.org/officeDocument/2006/customXml" ds:itemID="{260DE37B-5BE5-4338-8536-3637D3BF83C4}"/>
</file>

<file path=docProps/app.xml><?xml version="1.0" encoding="utf-8"?>
<Properties xmlns="http://schemas.openxmlformats.org/officeDocument/2006/extended-properties" xmlns:vt="http://schemas.openxmlformats.org/officeDocument/2006/docPropsVTypes">
  <Template>Normal</Template>
  <TotalTime>58</TotalTime>
  <Pages>5</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AFVPR</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htc2004</dc:creator>
  <cp:lastModifiedBy>Santiago Negrón, María V. (AFV)</cp:lastModifiedBy>
  <cp:revision>10</cp:revision>
  <cp:lastPrinted>2016-10-14T20:13:00Z</cp:lastPrinted>
  <dcterms:created xsi:type="dcterms:W3CDTF">2016-10-14T18:38:00Z</dcterms:created>
  <dcterms:modified xsi:type="dcterms:W3CDTF">2016-10-14T20:15:00Z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0x010100FF35CDCE79CD9D468FC0FF16CE2385C2</vt:lpwstr>
  </property>
</Properties>
</file>